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2CFD">
      <w:pPr>
        <w:keepNext w:val="0"/>
        <w:keepLines w:val="0"/>
        <w:pageBreakBefore w:val="0"/>
        <w:widowControl/>
        <w:numPr>
          <w:ilvl w:val="0"/>
          <w:numId w:val="0"/>
        </w:numPr>
        <w:kinsoku/>
        <w:wordWrap/>
        <w:overflowPunct/>
        <w:topLinePunct w:val="0"/>
        <w:autoSpaceDE/>
        <w:autoSpaceDN/>
        <w:bidi w:val="0"/>
        <w:adjustRightInd/>
        <w:snapToGrid/>
        <w:spacing w:line="59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highlight w:val="none"/>
          <w:lang w:val="en-US" w:eastAsia="zh-CN"/>
        </w:rPr>
        <w:t>福建省级机关医院</w:t>
      </w:r>
      <w:r>
        <w:rPr>
          <w:rFonts w:hint="eastAsia" w:ascii="方正小标宋简体" w:hAnsi="方正小标宋简体" w:eastAsia="方正小标宋简体" w:cs="方正小标宋简体"/>
          <w:color w:val="auto"/>
          <w:sz w:val="44"/>
          <w:szCs w:val="44"/>
          <w:lang w:val="en-US" w:eastAsia="zh-CN"/>
        </w:rPr>
        <w:t>CA签名服务</w:t>
      </w:r>
    </w:p>
    <w:p w14:paraId="207AF3DC">
      <w:pPr>
        <w:keepNext w:val="0"/>
        <w:keepLines w:val="0"/>
        <w:pageBreakBefore w:val="0"/>
        <w:widowControl/>
        <w:numPr>
          <w:ilvl w:val="0"/>
          <w:numId w:val="0"/>
        </w:numPr>
        <w:kinsoku/>
        <w:wordWrap/>
        <w:overflowPunct/>
        <w:topLinePunct w:val="0"/>
        <w:autoSpaceDE/>
        <w:autoSpaceDN/>
        <w:bidi w:val="0"/>
        <w:adjustRightInd/>
        <w:snapToGrid/>
        <w:spacing w:line="590" w:lineRule="exact"/>
        <w:jc w:val="center"/>
        <w:rPr>
          <w:rFonts w:hint="eastAsia" w:ascii="仿宋_GB2312" w:hAnsi="仿宋_GB2312" w:eastAsia="仿宋_GB2312" w:cs="仿宋_GB2312"/>
          <w:color w:val="auto"/>
          <w:sz w:val="32"/>
          <w:szCs w:val="32"/>
          <w:highlight w:val="none"/>
          <w:lang w:eastAsia="zh-CN"/>
        </w:rPr>
      </w:pPr>
      <w:r>
        <w:rPr>
          <w:rFonts w:hint="eastAsia" w:ascii="方正小标宋简体" w:hAnsi="方正小标宋简体" w:eastAsia="方正小标宋简体" w:cs="方正小标宋简体"/>
          <w:color w:val="auto"/>
          <w:sz w:val="44"/>
          <w:szCs w:val="44"/>
          <w:lang w:val="en-US" w:eastAsia="zh-CN"/>
        </w:rPr>
        <w:t>院内</w:t>
      </w:r>
      <w:r>
        <w:rPr>
          <w:rFonts w:hint="eastAsia" w:ascii="方正小标宋简体" w:hAnsi="方正小标宋简体" w:eastAsia="方正小标宋简体" w:cs="方正小标宋简体"/>
          <w:color w:val="auto"/>
          <w:sz w:val="44"/>
          <w:szCs w:val="44"/>
          <w:highlight w:val="none"/>
          <w:lang w:val="en-US" w:eastAsia="zh-CN"/>
        </w:rPr>
        <w:t>自行采购文件</w:t>
      </w:r>
    </w:p>
    <w:p w14:paraId="5F31A083">
      <w:pPr>
        <w:keepNext w:val="0"/>
        <w:keepLines w:val="0"/>
        <w:pageBreakBefore w:val="0"/>
        <w:widowControl/>
        <w:kinsoku/>
        <w:wordWrap/>
        <w:overflowPunct/>
        <w:topLinePunct w:val="0"/>
        <w:autoSpaceDE/>
        <w:autoSpaceDN/>
        <w:bidi w:val="0"/>
        <w:adjustRightInd/>
        <w:snapToGrid/>
        <w:spacing w:line="440" w:lineRule="exact"/>
        <w:ind w:firstLine="640" w:firstLineChars="200"/>
        <w:rPr>
          <w:rFonts w:hint="eastAsia" w:ascii="仿宋_GB2312" w:hAnsi="仿宋_GB2312" w:eastAsia="仿宋_GB2312" w:cs="仿宋_GB2312"/>
          <w:color w:val="auto"/>
          <w:sz w:val="32"/>
          <w:szCs w:val="32"/>
          <w:highlight w:val="none"/>
          <w:lang w:eastAsia="zh-CN"/>
        </w:rPr>
      </w:pPr>
    </w:p>
    <w:p w14:paraId="0E324534">
      <w:pPr>
        <w:keepNext w:val="0"/>
        <w:keepLines w:val="0"/>
        <w:pageBreakBefore w:val="0"/>
        <w:widowControl/>
        <w:kinsoku/>
        <w:wordWrap/>
        <w:overflowPunct/>
        <w:topLinePunct w:val="0"/>
        <w:autoSpaceDE/>
        <w:autoSpaceDN/>
        <w:bidi w:val="0"/>
        <w:adjustRightInd/>
        <w:snapToGrid/>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福建省级机关医院</w:t>
      </w:r>
      <w:r>
        <w:rPr>
          <w:rFonts w:hint="eastAsia" w:ascii="仿宋_GB2312" w:hAnsi="仿宋_GB2312" w:eastAsia="仿宋_GB2312" w:cs="仿宋_GB2312"/>
          <w:color w:val="auto"/>
          <w:sz w:val="32"/>
          <w:szCs w:val="32"/>
          <w:highlight w:val="none"/>
        </w:rPr>
        <w:t>组织院内</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活动，现欢迎国内合格的供应商前来提交密封的响应文件。</w:t>
      </w:r>
    </w:p>
    <w:p w14:paraId="41073D2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黑体" w:hAnsi="黑体" w:eastAsia="黑体" w:cs="黑体"/>
          <w:b w:val="0"/>
          <w:bCs/>
          <w:color w:val="auto"/>
          <w:sz w:val="32"/>
          <w:szCs w:val="32"/>
          <w:highlight w:val="none"/>
        </w:rPr>
      </w:pPr>
      <w:r>
        <w:rPr>
          <w:rStyle w:val="14"/>
          <w:rFonts w:hint="eastAsia" w:ascii="黑体" w:hAnsi="黑体" w:eastAsia="黑体" w:cs="黑体"/>
          <w:b w:val="0"/>
          <w:bCs/>
          <w:color w:val="auto"/>
          <w:sz w:val="32"/>
          <w:szCs w:val="32"/>
          <w:highlight w:val="none"/>
          <w:lang w:eastAsia="zh-CN"/>
        </w:rPr>
        <w:t>一、采购</w:t>
      </w:r>
      <w:r>
        <w:rPr>
          <w:rStyle w:val="14"/>
          <w:rFonts w:hint="eastAsia" w:ascii="黑体" w:hAnsi="黑体" w:eastAsia="黑体" w:cs="黑体"/>
          <w:b w:val="0"/>
          <w:bCs/>
          <w:color w:val="auto"/>
          <w:sz w:val="32"/>
          <w:szCs w:val="32"/>
          <w:highlight w:val="none"/>
        </w:rPr>
        <w:t>项目概况和范围</w:t>
      </w:r>
    </w:p>
    <w:p w14:paraId="283A8A5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lang w:val="en-US" w:eastAsia="zh-CN"/>
        </w:rPr>
        <w:t>CA签名服务院内自行采购项目</w:t>
      </w:r>
    </w:p>
    <w:p w14:paraId="0DD970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项目编号：</w:t>
      </w:r>
      <w:r>
        <w:rPr>
          <w:rFonts w:hint="eastAsia" w:ascii="仿宋_GB2312" w:hAnsi="仿宋_GB2312" w:eastAsia="仿宋_GB2312" w:cs="仿宋_GB2312"/>
          <w:color w:val="auto"/>
          <w:sz w:val="32"/>
          <w:szCs w:val="32"/>
          <w:highlight w:val="none"/>
          <w:lang w:val="en-US" w:eastAsia="zh-CN"/>
        </w:rPr>
        <w:t>FJSJJGYY-XXK-2025-03</w:t>
      </w:r>
    </w:p>
    <w:p w14:paraId="25FFC6E1">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范围和内容：详见本项目采购内容及要求中的全部内容。</w:t>
      </w:r>
    </w:p>
    <w:p w14:paraId="156C75A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本项目预算金额：</w:t>
      </w:r>
      <w:r>
        <w:rPr>
          <w:rFonts w:hint="eastAsia" w:ascii="仿宋_GB2312" w:hAnsi="仿宋_GB2312" w:eastAsia="仿宋_GB2312" w:cs="仿宋_GB2312"/>
          <w:color w:val="auto"/>
          <w:sz w:val="32"/>
          <w:szCs w:val="32"/>
          <w:highlight w:val="none"/>
          <w:lang w:val="en-US" w:eastAsia="zh-CN"/>
        </w:rPr>
        <w:t>30000.00</w:t>
      </w:r>
      <w:r>
        <w:rPr>
          <w:rFonts w:hint="eastAsia" w:ascii="仿宋_GB2312" w:hAnsi="仿宋_GB2312" w:eastAsia="仿宋_GB2312" w:cs="仿宋_GB2312"/>
          <w:color w:val="auto"/>
          <w:sz w:val="32"/>
          <w:szCs w:val="32"/>
          <w:highlight w:val="none"/>
        </w:rPr>
        <w:t>元</w:t>
      </w:r>
    </w:p>
    <w:p w14:paraId="707E0F9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5.服务</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highlight w:val="none"/>
          <w:lang w:eastAsia="zh-CN"/>
        </w:rPr>
        <w:t>：合同签订之日起一年</w:t>
      </w:r>
    </w:p>
    <w:p w14:paraId="1D93058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服务（货物）一览表</w:t>
      </w:r>
    </w:p>
    <w:tbl>
      <w:tblPr>
        <w:tblStyle w:val="11"/>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169"/>
        <w:gridCol w:w="2736"/>
        <w:gridCol w:w="1146"/>
        <w:gridCol w:w="1740"/>
        <w:gridCol w:w="1648"/>
      </w:tblGrid>
      <w:tr w14:paraId="1E07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46" w:type="dxa"/>
            <w:shd w:val="clear" w:color="auto" w:fill="auto"/>
            <w:vAlign w:val="center"/>
          </w:tcPr>
          <w:p w14:paraId="1129BA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_GB2312" w:hAnsi="宋体" w:eastAsia="仿宋_GB2312" w:cs="仿宋_GB2312"/>
                <w:i w:val="0"/>
                <w:iCs w:val="0"/>
                <w:color w:val="auto"/>
                <w:sz w:val="28"/>
                <w:szCs w:val="28"/>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合同包</w:t>
            </w:r>
          </w:p>
        </w:tc>
        <w:tc>
          <w:tcPr>
            <w:tcW w:w="1169" w:type="dxa"/>
            <w:shd w:val="clear" w:color="auto" w:fill="auto"/>
            <w:vAlign w:val="center"/>
          </w:tcPr>
          <w:p w14:paraId="5E229B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品目号</w:t>
            </w:r>
          </w:p>
        </w:tc>
        <w:tc>
          <w:tcPr>
            <w:tcW w:w="2736" w:type="dxa"/>
            <w:shd w:val="clear" w:color="auto" w:fill="auto"/>
            <w:vAlign w:val="center"/>
          </w:tcPr>
          <w:p w14:paraId="53DA64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采购标的</w:t>
            </w:r>
          </w:p>
        </w:tc>
        <w:tc>
          <w:tcPr>
            <w:tcW w:w="1146" w:type="dxa"/>
            <w:shd w:val="clear" w:color="auto" w:fill="auto"/>
            <w:vAlign w:val="center"/>
          </w:tcPr>
          <w:p w14:paraId="597FFD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数量</w:t>
            </w:r>
          </w:p>
        </w:tc>
        <w:tc>
          <w:tcPr>
            <w:tcW w:w="1740" w:type="dxa"/>
            <w:shd w:val="clear" w:color="auto" w:fill="auto"/>
            <w:vAlign w:val="center"/>
          </w:tcPr>
          <w:p w14:paraId="2B2304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合同包预算（元）</w:t>
            </w:r>
          </w:p>
        </w:tc>
        <w:tc>
          <w:tcPr>
            <w:tcW w:w="1648" w:type="dxa"/>
            <w:shd w:val="clear" w:color="auto" w:fill="auto"/>
            <w:vAlign w:val="center"/>
          </w:tcPr>
          <w:p w14:paraId="276F4E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服务地点</w:t>
            </w:r>
          </w:p>
        </w:tc>
      </w:tr>
      <w:tr w14:paraId="6B40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1146" w:type="dxa"/>
            <w:shd w:val="clear" w:color="auto" w:fill="auto"/>
            <w:vAlign w:val="center"/>
          </w:tcPr>
          <w:p w14:paraId="1FB114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1</w:t>
            </w:r>
          </w:p>
        </w:tc>
        <w:tc>
          <w:tcPr>
            <w:tcW w:w="1169" w:type="dxa"/>
            <w:shd w:val="clear" w:color="auto" w:fill="auto"/>
            <w:vAlign w:val="center"/>
          </w:tcPr>
          <w:p w14:paraId="1A0E23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1-1</w:t>
            </w:r>
          </w:p>
        </w:tc>
        <w:tc>
          <w:tcPr>
            <w:tcW w:w="0" w:type="auto"/>
            <w:shd w:val="clear" w:color="auto" w:fill="auto"/>
            <w:noWrap/>
            <w:vAlign w:val="center"/>
          </w:tcPr>
          <w:p w14:paraId="07C4E09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仿宋_GB2312" w:hAnsi="宋体" w:eastAsia="仿宋_GB2312" w:cs="仿宋_GB2312"/>
                <w:i w:val="0"/>
                <w:iCs w:val="0"/>
                <w:color w:val="auto"/>
                <w:sz w:val="28"/>
                <w:szCs w:val="28"/>
                <w:highlight w:val="none"/>
                <w:u w:val="none"/>
                <w:lang w:val="en-US" w:eastAsia="zh-CN"/>
              </w:rPr>
            </w:pPr>
            <w:r>
              <w:rPr>
                <w:rFonts w:hint="eastAsia" w:ascii="仿宋_GB2312" w:hAnsi="宋体" w:eastAsia="仿宋_GB2312" w:cs="仿宋_GB2312"/>
                <w:i w:val="0"/>
                <w:iCs w:val="0"/>
                <w:color w:val="auto"/>
                <w:sz w:val="28"/>
                <w:szCs w:val="28"/>
                <w:highlight w:val="none"/>
                <w:u w:val="none"/>
                <w:lang w:val="en-US" w:eastAsia="zh-CN"/>
              </w:rPr>
              <w:t>CA签名服务</w:t>
            </w:r>
          </w:p>
        </w:tc>
        <w:tc>
          <w:tcPr>
            <w:tcW w:w="1146" w:type="dxa"/>
            <w:shd w:val="clear" w:color="auto" w:fill="auto"/>
            <w:vAlign w:val="center"/>
          </w:tcPr>
          <w:p w14:paraId="61A98A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auto"/>
                <w:sz w:val="28"/>
                <w:szCs w:val="28"/>
                <w:highlight w:val="none"/>
                <w:u w:val="none"/>
                <w:lang w:val="en-US"/>
              </w:rPr>
            </w:pPr>
            <w:r>
              <w:rPr>
                <w:rFonts w:hint="eastAsia" w:ascii="仿宋_GB2312" w:hAnsi="宋体" w:eastAsia="仿宋_GB2312" w:cs="仿宋_GB2312"/>
                <w:i w:val="0"/>
                <w:iCs w:val="0"/>
                <w:color w:val="auto"/>
                <w:kern w:val="0"/>
                <w:sz w:val="28"/>
                <w:szCs w:val="28"/>
                <w:highlight w:val="none"/>
                <w:u w:val="none"/>
                <w:lang w:val="en-US" w:eastAsia="zh-CN" w:bidi="ar"/>
              </w:rPr>
              <w:t>500本</w:t>
            </w:r>
          </w:p>
        </w:tc>
        <w:tc>
          <w:tcPr>
            <w:tcW w:w="1740" w:type="dxa"/>
            <w:shd w:val="clear" w:color="auto" w:fill="auto"/>
            <w:vAlign w:val="center"/>
          </w:tcPr>
          <w:p w14:paraId="6518CB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_GB2312" w:hAnsi="宋体" w:eastAsia="仿宋_GB2312" w:cs="仿宋_GB2312"/>
                <w:i w:val="0"/>
                <w:iCs w:val="0"/>
                <w:color w:val="auto"/>
                <w:sz w:val="28"/>
                <w:szCs w:val="28"/>
                <w:highlight w:val="none"/>
                <w:u w:val="none"/>
                <w:lang w:val="en-US"/>
              </w:rPr>
            </w:pPr>
            <w:r>
              <w:rPr>
                <w:rFonts w:hint="eastAsia" w:ascii="仿宋_GB2312" w:hAnsi="宋体" w:eastAsia="仿宋_GB2312" w:cs="仿宋_GB2312"/>
                <w:i w:val="0"/>
                <w:iCs w:val="0"/>
                <w:color w:val="auto"/>
                <w:kern w:val="0"/>
                <w:sz w:val="28"/>
                <w:szCs w:val="28"/>
                <w:highlight w:val="none"/>
                <w:u w:val="none"/>
                <w:lang w:val="en-US" w:eastAsia="zh-CN" w:bidi="ar"/>
              </w:rPr>
              <w:t>30000.00</w:t>
            </w:r>
          </w:p>
        </w:tc>
        <w:tc>
          <w:tcPr>
            <w:tcW w:w="1648" w:type="dxa"/>
            <w:shd w:val="clear" w:color="auto" w:fill="auto"/>
            <w:vAlign w:val="center"/>
          </w:tcPr>
          <w:p w14:paraId="1A1824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iCs w:val="0"/>
                <w:color w:val="auto"/>
                <w:sz w:val="28"/>
                <w:szCs w:val="28"/>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福建省级机关医院</w:t>
            </w:r>
          </w:p>
        </w:tc>
      </w:tr>
    </w:tbl>
    <w:p w14:paraId="374A5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宋体" w:eastAsia="仿宋_GB2312" w:cs="仿宋_GB2312"/>
          <w:i w:val="0"/>
          <w:iCs w:val="0"/>
          <w:color w:val="auto"/>
          <w:kern w:val="0"/>
          <w:sz w:val="32"/>
          <w:szCs w:val="32"/>
          <w:highlight w:val="none"/>
          <w:u w:val="none"/>
          <w:lang w:val="en-US" w:eastAsia="zh-CN" w:bidi="ar"/>
        </w:rPr>
      </w:pPr>
      <w:r>
        <w:rPr>
          <w:rFonts w:hint="eastAsia" w:ascii="仿宋_GB2312" w:hAnsi="宋体" w:eastAsia="仿宋_GB2312" w:cs="仿宋_GB2312"/>
          <w:i w:val="0"/>
          <w:iCs w:val="0"/>
          <w:color w:val="auto"/>
          <w:kern w:val="0"/>
          <w:sz w:val="32"/>
          <w:szCs w:val="32"/>
          <w:highlight w:val="none"/>
          <w:u w:val="none"/>
          <w:lang w:val="en-US" w:eastAsia="zh-CN" w:bidi="ar"/>
        </w:rPr>
        <w:t>注：（1）本项目预算价人民币30000.00元为最高限价。供应商报价超过各单价限价和最高限价的为无效报价。供应商可依据市场行情和自身情况，自由竞价。本项目所发生的一切费用（如货物运输、安装、调试、检验、质保、培训费、接口费等所有其他有关各项的含税费用等）均包含在报价中。</w:t>
      </w:r>
    </w:p>
    <w:p w14:paraId="1EDE36F7">
      <w:pPr>
        <w:numPr>
          <w:ilvl w:val="0"/>
          <w:numId w:val="1"/>
        </w:numPr>
        <w:spacing w:line="44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成交人安装结束后应在规定的交付使用时间之前将废物移离现场，清理妥当，费用由成交人负责。</w:t>
      </w:r>
    </w:p>
    <w:p w14:paraId="27D5D743">
      <w:pPr>
        <w:pStyle w:val="26"/>
        <w:spacing w:line="440" w:lineRule="exact"/>
        <w:jc w:val="left"/>
        <w:rPr>
          <w:color w:val="auto"/>
        </w:rPr>
      </w:pPr>
      <w:r>
        <w:rPr>
          <w:rFonts w:hint="eastAsia" w:ascii="仿宋_GB2312" w:hAnsi="仿宋_GB2312" w:eastAsia="仿宋_GB2312" w:cs="仿宋_GB2312"/>
          <w:color w:val="auto"/>
          <w:sz w:val="32"/>
          <w:szCs w:val="32"/>
          <w:lang w:val="en-US" w:eastAsia="zh-CN"/>
        </w:rPr>
        <w:t xml:space="preserve">    7.</w:t>
      </w:r>
      <w:r>
        <w:rPr>
          <w:rFonts w:hint="eastAsia" w:ascii="仿宋_GB2312" w:hAnsi="仿宋_GB2312" w:eastAsia="仿宋_GB2312" w:cs="仿宋_GB2312"/>
          <w:color w:val="auto"/>
          <w:sz w:val="32"/>
          <w:szCs w:val="32"/>
          <w:highlight w:val="none"/>
        </w:rPr>
        <w:t>本项目</w:t>
      </w:r>
      <w:r>
        <w:rPr>
          <w:rFonts w:hint="eastAsia" w:ascii="仿宋_GB2312" w:hAnsi="仿宋_GB2312" w:eastAsia="仿宋_GB2312" w:cs="仿宋_GB2312"/>
          <w:color w:val="auto"/>
          <w:sz w:val="32"/>
          <w:szCs w:val="32"/>
          <w:highlight w:val="none"/>
          <w:lang w:val="en-US" w:eastAsia="zh-CN"/>
        </w:rPr>
        <w:t>采用最低价成交法。</w:t>
      </w:r>
    </w:p>
    <w:p w14:paraId="4EDAC4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lang w:val="en-US" w:eastAsia="zh-CN"/>
        </w:rPr>
      </w:pPr>
      <w:r>
        <w:rPr>
          <w:rStyle w:val="14"/>
          <w:rFonts w:hint="eastAsia" w:ascii="黑体" w:hAnsi="黑体" w:eastAsia="黑体" w:cs="黑体"/>
          <w:b w:val="0"/>
          <w:bCs/>
          <w:color w:val="auto"/>
          <w:sz w:val="32"/>
          <w:szCs w:val="32"/>
          <w:highlight w:val="none"/>
        </w:rPr>
        <w:t>二、采购内容及</w:t>
      </w:r>
      <w:r>
        <w:rPr>
          <w:rStyle w:val="14"/>
          <w:rFonts w:hint="eastAsia" w:ascii="黑体" w:hAnsi="黑体" w:eastAsia="黑体" w:cs="黑体"/>
          <w:b w:val="0"/>
          <w:bCs/>
          <w:color w:val="auto"/>
          <w:sz w:val="32"/>
          <w:szCs w:val="32"/>
          <w:highlight w:val="none"/>
          <w:lang w:eastAsia="zh-CN"/>
        </w:rPr>
        <w:t>技术参数</w:t>
      </w:r>
      <w:r>
        <w:rPr>
          <w:rStyle w:val="14"/>
          <w:rFonts w:hint="eastAsia" w:ascii="黑体" w:hAnsi="黑体" w:eastAsia="黑体" w:cs="黑体"/>
          <w:b w:val="0"/>
          <w:bCs/>
          <w:color w:val="auto"/>
          <w:sz w:val="32"/>
          <w:szCs w:val="32"/>
          <w:highlight w:val="none"/>
        </w:rPr>
        <w:t>要求（以下内容均为实质性内容，供应商须完全响应，否则视为无效响应）</w:t>
      </w:r>
    </w:p>
    <w:p w14:paraId="45A9F39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（一）技术条件：</w:t>
      </w:r>
    </w:p>
    <w:p w14:paraId="199375C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1.证书符合标准：X.509；</w:t>
      </w:r>
    </w:p>
    <w:p w14:paraId="3CA3A26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2.支持RSA2048/SM1/SM2/SM3/SM4算法；</w:t>
      </w:r>
    </w:p>
    <w:p w14:paraId="5331725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3.证书中包含身份信息和公钥，用于标识证书持有人的身份；</w:t>
      </w:r>
    </w:p>
    <w:p w14:paraId="2DB6FEF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4.支持标识证书持有人的网络身份，支持互联网签名应用场景；</w:t>
      </w:r>
    </w:p>
    <w:p w14:paraId="1783DD7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5.证书可支持动态分布，可实现同一证书同时为多个签名业务服务；</w:t>
      </w:r>
    </w:p>
    <w:p w14:paraId="16D0C8C0">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commentRangeStart w:id="0"/>
      <w:r>
        <w:rPr>
          <w:rFonts w:hint="eastAsia" w:ascii="仿宋_GB2312" w:hAnsi="仿宋_GB2312" w:eastAsia="仿宋_GB2312" w:cs="仿宋_GB2312"/>
          <w:color w:val="auto"/>
          <w:sz w:val="32"/>
          <w:szCs w:val="32"/>
          <w:highlight w:val="none"/>
          <w:lang w:val="en-US" w:eastAsia="zh-CN"/>
        </w:rPr>
        <w:t>数字证书支持互联网及医院内网签名应用</w:t>
      </w:r>
      <w:commentRangeEnd w:id="0"/>
      <w:r>
        <w:commentReference w:id="0"/>
      </w:r>
      <w:r>
        <w:rPr>
          <w:rFonts w:hint="eastAsia" w:ascii="仿宋_GB2312" w:hAnsi="仿宋_GB2312" w:eastAsia="仿宋_GB2312" w:cs="仿宋_GB2312"/>
          <w:color w:val="auto"/>
          <w:sz w:val="32"/>
          <w:szCs w:val="32"/>
          <w:highlight w:val="none"/>
          <w:lang w:val="en-US" w:eastAsia="zh-CN"/>
        </w:rPr>
        <w:t>，所对接的云签平台具备“密码运算资源分配”、“密码运算资源扩展”、“密码运算资源可用性判断”和“密码运算资源负载均衡”功能；</w:t>
      </w:r>
    </w:p>
    <w:p w14:paraId="08E5642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7.采用四通道安全认证体系，微信验证＋微信在线保护+用户口令验证＋短信验证保障签名安全；</w:t>
      </w:r>
    </w:p>
    <w:p w14:paraId="1F3060FD">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8.实现直接微信扫码验证，不得额外安装手机APP；</w:t>
      </w:r>
    </w:p>
    <w:p w14:paraId="63004D2D">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9.所采用的数字证书的发证机构支持颁发国密标准SM2证书或更高级别证书，成交人须提供承诺函且加盖成交人公章；</w:t>
      </w:r>
    </w:p>
    <w:p w14:paraId="482E6C2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10.所采用的数字证书发证机构没有发生因电子签名验证报告不严谨、不规范被工信部等主管部门责令整改或其他不良情况，成交人须提供承诺函且加盖成交人公章；</w:t>
      </w:r>
    </w:p>
    <w:p w14:paraId="0DA685A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11.安排专人负责数字证书管理，支撑7×24小时的数字证书服务；</w:t>
      </w:r>
    </w:p>
    <w:p w14:paraId="5A70D77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12.通过数字证书的线上自助发证服务实现医院员工的数字证书申请受理；</w:t>
      </w:r>
    </w:p>
    <w:p w14:paraId="50253A4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13.负责对数字证书申请材料的自动审核，并确保信息的真实性和完整性；</w:t>
      </w:r>
    </w:p>
    <w:p w14:paraId="79010F6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14.负责将审核通过的申请材料提交给数字证书颁发机构进行数字证书的签发；</w:t>
      </w:r>
    </w:p>
    <w:p w14:paraId="51A46CD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15.建立数字证书管理档案，记录证书持有人的相关信息和证书状态；</w:t>
      </w:r>
    </w:p>
    <w:p w14:paraId="1B876A6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16.每季度更新和维护证书信息库，确保数据的准确性和时效性；</w:t>
      </w:r>
    </w:p>
    <w:p w14:paraId="5BD88310">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17.实现数字证书的线上自动延期服务，及时完成数字证书的延期操作；</w:t>
      </w:r>
    </w:p>
    <w:p w14:paraId="002C4BC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18.实现数字证书的线上主动注销服务，在员工离职或不再需要数字证书时，在收到采购人通知后一个工作日内</w:t>
      </w:r>
      <w:r>
        <w:commentReference w:id="1"/>
      </w:r>
      <w:r>
        <w:rPr>
          <w:rFonts w:hint="eastAsia" w:ascii="仿宋_GB2312" w:hAnsi="仿宋_GB2312" w:eastAsia="仿宋_GB2312" w:cs="仿宋_GB2312"/>
          <w:color w:val="auto"/>
          <w:sz w:val="32"/>
          <w:szCs w:val="32"/>
          <w:highlight w:val="none"/>
          <w:lang w:val="en-US" w:eastAsia="zh-CN"/>
        </w:rPr>
        <w:t>完成办理证书的注销手续；</w:t>
      </w:r>
    </w:p>
    <w:p w14:paraId="7503EB6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19.数字证书使用过程中出现问题时，能够按服务要求快速响应；</w:t>
      </w:r>
    </w:p>
    <w:p w14:paraId="7649C5B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20.确保数字证书与医院各业务信息系统的正常对接和应用；</w:t>
      </w:r>
    </w:p>
    <w:p w14:paraId="09E412D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21.负责组织医院员工进行数字证书使用培训，包括数字证书使用方法和安全注意事项等；</w:t>
      </w:r>
    </w:p>
    <w:p w14:paraId="34E7BFF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22.设立专门的技术支持电话，支持随时通过QQ、微信、电话及电子邮件等各种灵活的通讯手段，随时解答员工在使用数字证书过程中遇到的问题；</w:t>
      </w:r>
    </w:p>
    <w:p w14:paraId="57BC65F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23.通过数字证书使用过程中的技术支持和问题解答，确保员工能够正确、安全地使用数字证书；</w:t>
      </w:r>
    </w:p>
    <w:p w14:paraId="3FEC5117">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24.定期巡检确保医院业务系统软件与数字证书的兼容性；</w:t>
      </w:r>
    </w:p>
    <w:p w14:paraId="65468F7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25.定期对医院数字证书的使用情况进行检查；</w:t>
      </w:r>
    </w:p>
    <w:p w14:paraId="4053F34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26.确保数字证书的使用符合相关法律法规和医院内部规定，提高医院数字证书的管理水平和使用安全性；</w:t>
      </w:r>
    </w:p>
    <w:p w14:paraId="0D72A85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27.成交人所投的医务人员专用云签证书须适配医院已有的电子签名系统及设备，若因无法适配而导致业务系统厂商接口改造，产生的接口改造费由成交人承担，成交人须提供承诺函且加盖成交人公章。</w:t>
      </w:r>
    </w:p>
    <w:p w14:paraId="269151D0">
      <w:pPr>
        <w:pStyle w:val="16"/>
        <w:keepNext w:val="0"/>
        <w:keepLines w:val="0"/>
        <w:pageBreakBefore w:val="0"/>
        <w:widowControl/>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（二）本项目服务期1年，自合同签订之日起算，提供终身维修。</w:t>
      </w:r>
    </w:p>
    <w:p w14:paraId="0C8CDD9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服务期内售后服务内容：项目运行发生故障或出现质量问题，成交人接到甲方故障通知后，会在半小时内响应；若电话指导无法排除故障，成交人技术员应在2小时内到现场进行检查、维修；3小时内排除故障，其差旅费用(包含住宿、交通、生活补助等）由成交人自行承担。</w:t>
      </w:r>
    </w:p>
    <w:p w14:paraId="3AD202A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服务期满后，项目运行发生故障或出现质量问题，成交人接到采购人故障通知后，会在半小时内响应；若电话指导无法排除故障，成交人技术员应在2小时内到现场进行检查、维修；3小时内排除故障，其差旅费用(包含住宿、交通、生活补助等）由成交人自行承担。</w:t>
      </w:r>
    </w:p>
    <w:p w14:paraId="0CA6F82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Style w:val="14"/>
          <w:rFonts w:hint="default" w:ascii="黑体" w:hAnsi="黑体" w:eastAsia="黑体" w:cs="黑体"/>
          <w:b w:val="0"/>
          <w:bCs/>
          <w:color w:val="auto"/>
          <w:sz w:val="32"/>
          <w:szCs w:val="32"/>
          <w:highlight w:val="none"/>
          <w:lang w:val="en-US" w:eastAsia="zh-CN"/>
        </w:rPr>
      </w:pPr>
      <w:r>
        <w:rPr>
          <w:rStyle w:val="14"/>
          <w:rFonts w:hint="eastAsia" w:ascii="黑体" w:hAnsi="黑体" w:eastAsia="黑体" w:cs="黑体"/>
          <w:b w:val="0"/>
          <w:bCs/>
          <w:color w:val="auto"/>
          <w:sz w:val="32"/>
          <w:szCs w:val="32"/>
          <w:highlight w:val="none"/>
          <w:lang w:val="en-US" w:eastAsia="zh-CN"/>
        </w:rPr>
        <w:t>三、验收</w:t>
      </w:r>
    </w:p>
    <w:p w14:paraId="69EC28A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验收人员由甲方相关人员与乙方相关人员共同组成，填写验收单，验收结果由甲乙双方签字认可。</w:t>
      </w:r>
    </w:p>
    <w:p w14:paraId="0DE1B6C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黑体" w:hAnsi="黑体" w:eastAsia="黑体" w:cs="黑体"/>
          <w:b w:val="0"/>
          <w:bCs/>
          <w:color w:val="auto"/>
          <w:sz w:val="32"/>
          <w:szCs w:val="32"/>
          <w:highlight w:val="none"/>
        </w:rPr>
      </w:pPr>
      <w:r>
        <w:rPr>
          <w:rStyle w:val="14"/>
          <w:rFonts w:hint="eastAsia" w:ascii="黑体" w:hAnsi="黑体" w:eastAsia="黑体" w:cs="黑体"/>
          <w:b w:val="0"/>
          <w:bCs/>
          <w:color w:val="auto"/>
          <w:sz w:val="32"/>
          <w:szCs w:val="32"/>
          <w:highlight w:val="none"/>
          <w:lang w:val="en-US" w:eastAsia="zh-CN"/>
        </w:rPr>
        <w:t>四</w:t>
      </w:r>
      <w:r>
        <w:rPr>
          <w:rStyle w:val="14"/>
          <w:rFonts w:hint="eastAsia" w:ascii="黑体" w:hAnsi="黑体" w:eastAsia="黑体" w:cs="黑体"/>
          <w:b w:val="0"/>
          <w:bCs/>
          <w:color w:val="auto"/>
          <w:sz w:val="32"/>
          <w:szCs w:val="32"/>
          <w:highlight w:val="none"/>
        </w:rPr>
        <w:t>、付款方式与条件</w:t>
      </w:r>
    </w:p>
    <w:tbl>
      <w:tblPr>
        <w:tblStyle w:val="1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553"/>
        <w:gridCol w:w="6157"/>
      </w:tblGrid>
      <w:tr w14:paraId="0BC2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98" w:type="dxa"/>
            <w:noWrap w:val="0"/>
            <w:vAlign w:val="center"/>
          </w:tcPr>
          <w:p w14:paraId="7695FC4A">
            <w:pPr>
              <w:pStyle w:val="7"/>
              <w:widowControl w:val="0"/>
              <w:spacing w:line="440" w:lineRule="exact"/>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支 付</w:t>
            </w:r>
          </w:p>
          <w:p w14:paraId="15EA2F3F">
            <w:pPr>
              <w:pStyle w:val="7"/>
              <w:widowControl w:val="0"/>
              <w:spacing w:line="440" w:lineRule="exact"/>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期 次</w:t>
            </w:r>
          </w:p>
        </w:tc>
        <w:tc>
          <w:tcPr>
            <w:tcW w:w="1553" w:type="dxa"/>
            <w:noWrap w:val="0"/>
            <w:vAlign w:val="center"/>
          </w:tcPr>
          <w:p w14:paraId="64BC6BA7">
            <w:pPr>
              <w:pStyle w:val="7"/>
              <w:widowControl w:val="0"/>
              <w:spacing w:line="440" w:lineRule="exact"/>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支付</w:t>
            </w:r>
          </w:p>
          <w:p w14:paraId="0D611AA1">
            <w:pPr>
              <w:pStyle w:val="7"/>
              <w:widowControl w:val="0"/>
              <w:spacing w:line="440" w:lineRule="exact"/>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比例(%)</w:t>
            </w:r>
          </w:p>
        </w:tc>
        <w:tc>
          <w:tcPr>
            <w:tcW w:w="6157" w:type="dxa"/>
            <w:noWrap w:val="0"/>
            <w:vAlign w:val="center"/>
          </w:tcPr>
          <w:p w14:paraId="7B0510E4">
            <w:pPr>
              <w:pStyle w:val="7"/>
              <w:widowControl w:val="0"/>
              <w:spacing w:line="440" w:lineRule="exact"/>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支付期次说明</w:t>
            </w:r>
          </w:p>
        </w:tc>
      </w:tr>
      <w:tr w14:paraId="12E9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98" w:type="dxa"/>
            <w:noWrap w:val="0"/>
            <w:vAlign w:val="center"/>
          </w:tcPr>
          <w:p w14:paraId="0C02BA06">
            <w:pPr>
              <w:pStyle w:val="7"/>
              <w:widowControl w:val="0"/>
              <w:spacing w:line="440" w:lineRule="exact"/>
              <w:ind w:left="0" w:leftChars="0" w:firstLine="0" w:firstLineChars="0"/>
              <w:jc w:val="cente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1</w:t>
            </w:r>
          </w:p>
        </w:tc>
        <w:tc>
          <w:tcPr>
            <w:tcW w:w="1553" w:type="dxa"/>
            <w:noWrap w:val="0"/>
            <w:vAlign w:val="center"/>
          </w:tcPr>
          <w:p w14:paraId="47B57FE9">
            <w:pPr>
              <w:pStyle w:val="7"/>
              <w:widowControl w:val="0"/>
              <w:spacing w:line="440" w:lineRule="exact"/>
              <w:ind w:left="0" w:leftChars="0" w:firstLine="0" w:firstLineChars="0"/>
              <w:jc w:val="cente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50</w:t>
            </w:r>
          </w:p>
        </w:tc>
        <w:tc>
          <w:tcPr>
            <w:tcW w:w="6157" w:type="dxa"/>
            <w:noWrap w:val="0"/>
            <w:vAlign w:val="center"/>
          </w:tcPr>
          <w:p w14:paraId="65645662">
            <w:pPr>
              <w:pStyle w:val="7"/>
              <w:widowControl w:val="0"/>
              <w:spacing w:line="440" w:lineRule="exact"/>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22"/>
                <w:highlight w:val="none"/>
                <w:lang w:val="en-US" w:eastAsia="zh-CN" w:bidi="ar-SA"/>
              </w:rPr>
              <w:t>服务期满半年，经验收合格且收到正式等额发票后</w:t>
            </w:r>
            <w:r>
              <w:rPr>
                <w:rFonts w:hint="eastAsia" w:ascii="仿宋_GB2312" w:hAnsi="仿宋_GB2312" w:eastAsia="仿宋_GB2312" w:cs="仿宋_GB2312"/>
                <w:color w:val="auto"/>
                <w:kern w:val="2"/>
                <w:sz w:val="32"/>
                <w:szCs w:val="32"/>
                <w:lang w:val="en-US" w:eastAsia="zh-CN" w:bidi="ar-SA"/>
              </w:rPr>
              <w:t>一个月</w:t>
            </w:r>
            <w:r>
              <w:rPr>
                <w:rFonts w:hint="eastAsia" w:ascii="仿宋_GB2312" w:hAnsi="仿宋_GB2312" w:eastAsia="仿宋_GB2312" w:cs="仿宋_GB2312"/>
                <w:kern w:val="2"/>
                <w:sz w:val="32"/>
                <w:szCs w:val="22"/>
                <w:highlight w:val="none"/>
                <w:lang w:val="en-US" w:eastAsia="zh-CN" w:bidi="ar-SA"/>
              </w:rPr>
              <w:t>内支付合同总金额的50%。</w:t>
            </w:r>
          </w:p>
        </w:tc>
      </w:tr>
      <w:tr w14:paraId="64F7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98" w:type="dxa"/>
            <w:noWrap w:val="0"/>
            <w:vAlign w:val="center"/>
          </w:tcPr>
          <w:p w14:paraId="54CE958C">
            <w:pPr>
              <w:pStyle w:val="7"/>
              <w:widowControl w:val="0"/>
              <w:spacing w:line="440" w:lineRule="exact"/>
              <w:ind w:left="0" w:leftChars="0" w:firstLine="0" w:firstLineChars="0"/>
              <w:jc w:val="center"/>
              <w:rPr>
                <w:rFonts w:hint="default"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2</w:t>
            </w:r>
          </w:p>
        </w:tc>
        <w:tc>
          <w:tcPr>
            <w:tcW w:w="1553" w:type="dxa"/>
            <w:noWrap w:val="0"/>
            <w:vAlign w:val="center"/>
          </w:tcPr>
          <w:p w14:paraId="5119441E">
            <w:pPr>
              <w:pStyle w:val="7"/>
              <w:widowControl w:val="0"/>
              <w:spacing w:line="440" w:lineRule="exact"/>
              <w:ind w:left="0" w:leftChars="0" w:firstLine="0" w:firstLineChars="0"/>
              <w:jc w:val="center"/>
              <w:rPr>
                <w:rFonts w:hint="default"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50</w:t>
            </w:r>
          </w:p>
        </w:tc>
        <w:tc>
          <w:tcPr>
            <w:tcW w:w="6157" w:type="dxa"/>
            <w:noWrap w:val="0"/>
            <w:vAlign w:val="center"/>
          </w:tcPr>
          <w:p w14:paraId="4BB850C1">
            <w:pPr>
              <w:pStyle w:val="7"/>
              <w:widowControl w:val="0"/>
              <w:spacing w:line="440" w:lineRule="exact"/>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服务期满且收到正式等额发票后，一个月内支付合同总金额的50%。</w:t>
            </w:r>
          </w:p>
        </w:tc>
      </w:tr>
    </w:tbl>
    <w:p w14:paraId="17074D33">
      <w:pPr>
        <w:pStyle w:val="9"/>
        <w:keepNext w:val="0"/>
        <w:keepLines w:val="0"/>
        <w:widowControl/>
        <w:suppressLineNumbers w:val="0"/>
        <w:spacing w:before="0" w:beforeAutospacing="0" w:after="0" w:afterAutospacing="0" w:line="440" w:lineRule="exact"/>
        <w:ind w:left="0" w:firstLine="640" w:firstLineChars="200"/>
        <w:rPr>
          <w:rFonts w:hint="eastAsia" w:ascii="黑体" w:hAnsi="黑体" w:eastAsia="黑体" w:cs="黑体"/>
          <w:b w:val="0"/>
          <w:bCs/>
          <w:color w:val="auto"/>
          <w:spacing w:val="0"/>
          <w:kern w:val="2"/>
          <w:sz w:val="32"/>
          <w:szCs w:val="32"/>
          <w:highlight w:val="none"/>
          <w:lang w:val="en-US" w:eastAsia="zh-CN" w:bidi="ar-SA"/>
        </w:rPr>
      </w:pPr>
      <w:r>
        <w:rPr>
          <w:rStyle w:val="14"/>
          <w:rFonts w:hint="eastAsia" w:ascii="黑体" w:hAnsi="黑体" w:eastAsia="黑体" w:cs="黑体"/>
          <w:b w:val="0"/>
          <w:bCs/>
          <w:color w:val="auto"/>
          <w:sz w:val="32"/>
          <w:szCs w:val="32"/>
          <w:highlight w:val="none"/>
          <w:lang w:val="en-US" w:eastAsia="zh-CN"/>
        </w:rPr>
        <w:t>五</w:t>
      </w:r>
      <w:r>
        <w:rPr>
          <w:rStyle w:val="14"/>
          <w:rFonts w:hint="eastAsia" w:ascii="黑体" w:hAnsi="黑体" w:eastAsia="黑体" w:cs="黑体"/>
          <w:b w:val="0"/>
          <w:bCs/>
          <w:color w:val="auto"/>
          <w:sz w:val="32"/>
          <w:szCs w:val="32"/>
          <w:highlight w:val="none"/>
        </w:rPr>
        <w:t>、供应商资格要求及审查办法</w:t>
      </w:r>
    </w:p>
    <w:p w14:paraId="3F7390A9">
      <w:pPr>
        <w:pStyle w:val="4"/>
        <w:numPr>
          <w:ilvl w:val="0"/>
          <w:numId w:val="0"/>
        </w:numPr>
        <w:spacing w:line="440" w:lineRule="exact"/>
        <w:ind w:firstLine="640" w:firstLineChars="200"/>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（一）一般资格要求：</w:t>
      </w:r>
    </w:p>
    <w:p w14:paraId="7125CDFF">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供应商应是具备独立企业法人资格,有能力承接本项目的国内企业 (供应商应在响应文件中提供企业法人营业执照复印件,并加盖供应商单位公章)；</w:t>
      </w:r>
    </w:p>
    <w:p w14:paraId="62F0673C">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法定代表人授权书原件（若是单位负责人参加</w:t>
      </w:r>
      <w:r>
        <w:rPr>
          <w:rFonts w:hint="eastAsia" w:ascii="仿宋_GB2312" w:hAnsi="仿宋_GB2312" w:eastAsia="仿宋_GB2312" w:cs="仿宋_GB2312"/>
          <w:color w:val="auto"/>
          <w:spacing w:val="0"/>
          <w:sz w:val="32"/>
          <w:szCs w:val="32"/>
          <w:highlight w:val="none"/>
          <w:lang w:val="en-US" w:eastAsia="zh-CN"/>
        </w:rPr>
        <w:t>谈判</w:t>
      </w:r>
      <w:r>
        <w:rPr>
          <w:rFonts w:hint="eastAsia" w:ascii="仿宋_GB2312" w:hAnsi="仿宋_GB2312" w:eastAsia="仿宋_GB2312" w:cs="仿宋_GB2312"/>
          <w:color w:val="auto"/>
          <w:spacing w:val="0"/>
          <w:sz w:val="32"/>
          <w:szCs w:val="32"/>
          <w:highlight w:val="none"/>
        </w:rPr>
        <w:t>的可无须提供本函），(供应商应按照附件“响应文件格式”)；</w:t>
      </w:r>
    </w:p>
    <w:p w14:paraId="70C48CA1">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依法缴纳税收和社会保障资金的承诺函或提供投标</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响应</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截止时间前六个月（不含投标</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响应</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截止时间的当月）中任一个月的依法缴纳税收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完税证明或无欠税证明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0"/>
          <w:sz w:val="32"/>
          <w:szCs w:val="32"/>
          <w:highlight w:val="none"/>
        </w:rPr>
        <w:t>和社会保障资金的凭据(详见附件“响应文件格式”)；</w:t>
      </w:r>
    </w:p>
    <w:p w14:paraId="61BA61B6">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参加本项目响应前3年内在经营活动中没有重大违法记录的书面声明函(详见附件“响应文件格式”)；</w:t>
      </w:r>
    </w:p>
    <w:p w14:paraId="4AC84A6D">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rPr>
        <w:t>具备履行合同所必需的设备和专业技术能力的声明函(详见附件“响应文件格式”)；</w:t>
      </w:r>
    </w:p>
    <w:p w14:paraId="6B987F6F">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6.</w:t>
      </w:r>
      <w:r>
        <w:rPr>
          <w:rFonts w:hint="eastAsia" w:ascii="仿宋_GB2312" w:hAnsi="仿宋_GB2312" w:eastAsia="仿宋_GB2312" w:cs="仿宋_GB2312"/>
          <w:color w:val="auto"/>
          <w:spacing w:val="0"/>
          <w:sz w:val="32"/>
          <w:szCs w:val="32"/>
          <w:highlight w:val="none"/>
        </w:rPr>
        <w:t>信用信息查询记录证明材料（根据财库〔2016〕125号文件规定，供应商不得被列入失信被执行人、重大税收违法案件当事人名单、政府采购严重违法失信行为记录名单）。供应商针对“信用记录查询结果”可自主提供证明材料，未提供该证明材料的不视为响应无效。信用记录的审查：由</w:t>
      </w:r>
      <w:r>
        <w:rPr>
          <w:rFonts w:hint="eastAsia" w:ascii="仿宋_GB2312" w:hAnsi="仿宋_GB2312" w:eastAsia="仿宋_GB2312" w:cs="仿宋_GB2312"/>
          <w:color w:val="auto"/>
          <w:spacing w:val="0"/>
          <w:sz w:val="32"/>
          <w:szCs w:val="32"/>
          <w:highlight w:val="none"/>
          <w:lang w:val="en-US" w:eastAsia="zh-CN"/>
        </w:rPr>
        <w:t>谈判</w:t>
      </w:r>
      <w:r>
        <w:rPr>
          <w:rFonts w:hint="eastAsia" w:ascii="仿宋_GB2312" w:hAnsi="仿宋_GB2312" w:eastAsia="仿宋_GB2312" w:cs="仿宋_GB2312"/>
          <w:color w:val="auto"/>
          <w:spacing w:val="0"/>
          <w:sz w:val="32"/>
          <w:szCs w:val="32"/>
          <w:highlight w:val="none"/>
        </w:rPr>
        <w:t>小组通过“信用中国”网站（www.creditchina.gov.cn）和中国政府采购网（www.ccgp.gov.cn）查询并打印供应商信用记录。若查询结果存在供应商应被拒绝参与政府采购活动相关信息的，其资格审查不合格）。</w:t>
      </w:r>
    </w:p>
    <w:p w14:paraId="571B0E1A">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color w:val="auto"/>
          <w:spacing w:val="0"/>
          <w:sz w:val="32"/>
          <w:szCs w:val="32"/>
          <w:highlight w:val="none"/>
        </w:rPr>
        <w:t>本项目不接受联合体</w:t>
      </w:r>
      <w:r>
        <w:rPr>
          <w:rFonts w:hint="eastAsia" w:ascii="仿宋_GB2312" w:hAnsi="仿宋_GB2312" w:cs="仿宋_GB2312"/>
          <w:color w:val="auto"/>
          <w:spacing w:val="0"/>
          <w:sz w:val="32"/>
          <w:szCs w:val="32"/>
          <w:highlight w:val="none"/>
          <w:lang w:val="en-US" w:eastAsia="zh-CN"/>
        </w:rPr>
        <w:t>谈判</w:t>
      </w:r>
      <w:r>
        <w:rPr>
          <w:rFonts w:hint="eastAsia" w:ascii="仿宋_GB2312" w:hAnsi="仿宋_GB2312" w:eastAsia="仿宋_GB2312" w:cs="仿宋_GB2312"/>
          <w:color w:val="auto"/>
          <w:spacing w:val="0"/>
          <w:sz w:val="32"/>
          <w:szCs w:val="32"/>
          <w:highlight w:val="none"/>
        </w:rPr>
        <w:t>，不允许分包</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转包</w:t>
      </w:r>
      <w:r>
        <w:rPr>
          <w:rFonts w:hint="eastAsia" w:ascii="仿宋_GB2312" w:hAnsi="仿宋_GB2312" w:eastAsia="仿宋_GB2312" w:cs="仿宋_GB2312"/>
          <w:color w:val="auto"/>
          <w:sz w:val="32"/>
          <w:szCs w:val="32"/>
          <w:highlight w:val="none"/>
        </w:rPr>
        <w:t>（需提供承诺函或声明函）。</w:t>
      </w:r>
    </w:p>
    <w:p w14:paraId="2FA9045E">
      <w:pPr>
        <w:keepNext w:val="0"/>
        <w:keepLines w:val="0"/>
        <w:pageBreakBefore w:val="0"/>
        <w:widowControl w:val="0"/>
        <w:kinsoku/>
        <w:wordWrap/>
        <w:overflowPunct/>
        <w:topLinePunct w:val="0"/>
        <w:autoSpaceDE/>
        <w:autoSpaceDN/>
        <w:bidi w:val="0"/>
        <w:adjustRightInd/>
        <w:snapToGrid/>
        <w:spacing w:beforeLines="-2147483648" w:afterLines="-2147483648" w:line="440" w:lineRule="exact"/>
        <w:ind w:firstLine="640" w:firstLineChars="200"/>
        <w:jc w:val="lef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sz w:val="32"/>
          <w:szCs w:val="32"/>
        </w:rPr>
        <w:t>本项目为专门面向中小企业采购项目，供应商应按以下要求提供相关证明材料：①供应商符合《工业和信息化部、国家统计局、国家发展和改革委员会、财政部关于印发中小企业划型标准规定的通知》（工信部联企业[2011]300号）规定的中小企业划分标准，提供《中小企业声明函》（货物、工程、服务）。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供应商应按照响应文件格式规定提供。本项目为货物类采购项目，本项目（采购标的）所属行业为</w:t>
      </w:r>
      <w:commentRangeStart w:id="2"/>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软件和信息技术服务业</w:t>
      </w:r>
      <w:r>
        <w:rPr>
          <w:rFonts w:hint="eastAsia" w:ascii="仿宋_GB2312" w:hAnsi="仿宋_GB2312" w:eastAsia="仿宋_GB2312" w:cs="仿宋_GB2312"/>
          <w:sz w:val="32"/>
          <w:szCs w:val="32"/>
        </w:rPr>
        <w:t>”。</w:t>
      </w:r>
      <w:commentRangeEnd w:id="2"/>
      <w:r>
        <w:commentReference w:id="2"/>
      </w:r>
    </w:p>
    <w:p w14:paraId="769157F4">
      <w:pPr>
        <w:keepNext w:val="0"/>
        <w:keepLines w:val="0"/>
        <w:pageBreakBefore w:val="0"/>
        <w:widowControl/>
        <w:kinsoku/>
        <w:wordWrap/>
        <w:overflowPunct/>
        <w:topLinePunct w:val="0"/>
        <w:autoSpaceDE/>
        <w:autoSpaceDN/>
        <w:bidi w:val="0"/>
        <w:adjustRightInd/>
        <w:snapToGrid/>
        <w:spacing w:beforeLines="0" w:afterLines="0" w:line="440" w:lineRule="exact"/>
        <w:ind w:firstLine="640" w:firstLineChars="200"/>
        <w:jc w:val="left"/>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kern w:val="2"/>
          <w:sz w:val="32"/>
          <w:szCs w:val="32"/>
          <w:highlight w:val="none"/>
          <w:lang w:val="en-US" w:eastAsia="zh-CN" w:bidi="ar-SA"/>
        </w:rPr>
        <w:t>资格承诺函</w:t>
      </w:r>
      <w:r>
        <w:rPr>
          <w:rFonts w:hint="eastAsia" w:ascii="仿宋_GB2312" w:hAnsi="仿宋_GB2312" w:eastAsia="仿宋_GB2312" w:cs="仿宋_GB2312"/>
          <w:color w:val="auto"/>
          <w:spacing w:val="0"/>
          <w:sz w:val="32"/>
          <w:szCs w:val="32"/>
          <w:highlight w:val="none"/>
          <w:lang w:eastAsia="zh-CN"/>
        </w:rPr>
        <w:t>：</w:t>
      </w:r>
    </w:p>
    <w:p w14:paraId="3FEC10AC">
      <w:pPr>
        <w:pStyle w:val="4"/>
        <w:spacing w:line="440" w:lineRule="exact"/>
        <w:ind w:left="0" w:firstLine="640" w:firstLineChars="200"/>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根据福建省财政厅《福建省财政厅关于印发推行政府</w:t>
      </w:r>
    </w:p>
    <w:p w14:paraId="6D3809A7">
      <w:pPr>
        <w:pStyle w:val="4"/>
        <w:keepNext w:val="0"/>
        <w:keepLines w:val="0"/>
        <w:pageBreakBefore w:val="0"/>
        <w:widowControl/>
        <w:kinsoku/>
        <w:wordWrap/>
        <w:overflowPunct/>
        <w:topLinePunct w:val="0"/>
        <w:autoSpaceDE/>
        <w:autoSpaceDN/>
        <w:bidi w:val="0"/>
        <w:adjustRightInd/>
        <w:snapToGrid/>
        <w:spacing w:beforeLines="0" w:afterLines="0" w:line="440" w:lineRule="exact"/>
        <w:ind w:left="0" w:firstLine="0" w:firstLineChars="0"/>
        <w:jc w:val="left"/>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bidi="ar-SA"/>
        </w:rPr>
        <w:t>采购供应商资格承诺制指导意见的通知》（闽财购〔2024〕6 号）文件精神，供应商在响应时，已按照规定提供《福建省政府采购供应商资格承诺函》（详见响应文件格式）的，无需再提交“法人或者其他组织的营业执照等证明文件，自然人的身份证明、财务状况报告、依法缴纳税收的相关材料、依法缴纳社会保障资金的相关材料、具备履行合同所必需设备和专业技术能力的声明函、参加政府采购活动前3年内在经营活动中没有重大违法记录的书面声明”等《中华人民共和国政府采购法实施条例》第十七条第一款规定的资格条件证明材料。采购人有权在签订合同前要求成交人提供相关证明材料以核实成交人承诺事项的真实性。成交人应当遵循诚实守信的原则，不得作出虚假承诺，承诺不实的，属于提供虚假材料谋取中标、成交。供应商可自行选择提供（一）</w:t>
      </w:r>
      <w:r>
        <w:rPr>
          <w:rFonts w:hint="eastAsia" w:ascii="仿宋_GB2312" w:hAnsi="仿宋_GB2312" w:eastAsia="仿宋_GB2312" w:cs="仿宋_GB2312"/>
          <w:color w:val="auto"/>
          <w:sz w:val="32"/>
          <w:szCs w:val="32"/>
          <w:highlight w:val="none"/>
          <w:lang w:val="en-US" w:eastAsia="zh-CN" w:bidi="ar-SA"/>
        </w:rPr>
        <w:t>一般资格要求中</w:t>
      </w:r>
      <w:r>
        <w:rPr>
          <w:rFonts w:hint="eastAsia" w:ascii="仿宋_GB2312" w:hAnsi="仿宋_GB2312" w:eastAsia="仿宋_GB2312" w:cs="仿宋_GB2312"/>
          <w:color w:val="auto"/>
          <w:spacing w:val="0"/>
          <w:kern w:val="2"/>
          <w:sz w:val="32"/>
          <w:szCs w:val="32"/>
          <w:highlight w:val="none"/>
          <w:lang w:val="en-US" w:eastAsia="zh-CN" w:bidi="ar-SA"/>
        </w:rPr>
        <w:t>1.、3.、4.、5.所要求的材料或提供资格承诺函代替前述4项材料。</w:t>
      </w:r>
      <w:r>
        <w:rPr>
          <w:rFonts w:hint="eastAsia" w:ascii="仿宋_GB2312" w:hAnsi="仿宋_GB2312" w:eastAsia="仿宋_GB2312" w:cs="仿宋_GB2312"/>
          <w:color w:val="auto"/>
          <w:spacing w:val="0"/>
          <w:sz w:val="32"/>
          <w:szCs w:val="32"/>
          <w:highlight w:val="none"/>
        </w:rPr>
        <w:t>(详见附件“响应文件格式”)</w:t>
      </w:r>
    </w:p>
    <w:p w14:paraId="47BE4740">
      <w:pPr>
        <w:pStyle w:val="9"/>
        <w:keepNext w:val="0"/>
        <w:keepLines w:val="0"/>
        <w:widowControl/>
        <w:suppressLineNumbers w:val="0"/>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b/>
          <w:bCs/>
          <w:color w:val="auto"/>
          <w:spacing w:val="0"/>
          <w:sz w:val="32"/>
          <w:szCs w:val="32"/>
          <w:highlight w:val="none"/>
          <w:lang w:val="en-US" w:eastAsia="zh-CN"/>
        </w:rPr>
        <w:t>特定资格要求：</w:t>
      </w:r>
      <w:r>
        <w:rPr>
          <w:rFonts w:hint="eastAsia" w:ascii="仿宋_GB2312" w:hAnsi="仿宋_GB2312" w:eastAsia="仿宋_GB2312" w:cs="仿宋_GB2312"/>
          <w:b/>
          <w:bCs/>
          <w:color w:val="auto"/>
          <w:spacing w:val="0"/>
          <w:sz w:val="32"/>
          <w:szCs w:val="32"/>
          <w:highlight w:val="none"/>
          <w:lang w:eastAsia="zh-CN"/>
        </w:rPr>
        <w:t>无。</w:t>
      </w:r>
    </w:p>
    <w:p w14:paraId="6EAB4134">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资格审查采用方式：截标后即开始评审。</w:t>
      </w:r>
    </w:p>
    <w:p w14:paraId="5338650D">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本项目为非政府采购项目，参照政府采购竞争性谈判的流程进行。供应商应对响应文件资料的真实性负责，</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在授予合同之前有权对其响应文件资料进行核实，如发现所提交的资料不真实，</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将视其为以弄虚作假方式骗取中标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成交</w:t>
      </w:r>
      <w:r>
        <w:rPr>
          <w:rFonts w:hint="eastAsia" w:ascii="仿宋_GB2312" w:hAnsi="仿宋_GB2312" w:eastAsia="仿宋_GB2312" w:cs="仿宋_GB2312"/>
          <w:color w:val="auto"/>
          <w:sz w:val="32"/>
          <w:szCs w:val="32"/>
          <w:highlight w:val="none"/>
        </w:rPr>
        <w:t>，其成交无效，若给</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造成损失的，应依法承担赔偿责任。</w:t>
      </w:r>
    </w:p>
    <w:p w14:paraId="3580F60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黑体" w:hAnsi="黑体" w:eastAsia="黑体" w:cs="黑体"/>
          <w:b w:val="0"/>
          <w:bCs/>
          <w:color w:val="auto"/>
          <w:sz w:val="32"/>
          <w:szCs w:val="32"/>
          <w:highlight w:val="none"/>
        </w:rPr>
      </w:pPr>
      <w:r>
        <w:rPr>
          <w:rStyle w:val="14"/>
          <w:rFonts w:hint="eastAsia" w:ascii="黑体" w:hAnsi="黑体" w:eastAsia="黑体" w:cs="黑体"/>
          <w:b w:val="0"/>
          <w:bCs/>
          <w:color w:val="auto"/>
          <w:sz w:val="32"/>
          <w:szCs w:val="32"/>
          <w:highlight w:val="none"/>
          <w:lang w:val="en-US" w:eastAsia="zh-CN"/>
        </w:rPr>
        <w:t>六</w:t>
      </w:r>
      <w:r>
        <w:rPr>
          <w:rStyle w:val="14"/>
          <w:rFonts w:hint="eastAsia" w:ascii="黑体" w:hAnsi="黑体" w:eastAsia="黑体" w:cs="黑体"/>
          <w:b w:val="0"/>
          <w:bCs/>
          <w:color w:val="auto"/>
          <w:sz w:val="32"/>
          <w:szCs w:val="32"/>
          <w:highlight w:val="none"/>
        </w:rPr>
        <w:t>、</w:t>
      </w:r>
      <w:r>
        <w:rPr>
          <w:rStyle w:val="14"/>
          <w:rFonts w:hint="eastAsia" w:ascii="黑体" w:hAnsi="黑体" w:eastAsia="黑体" w:cs="黑体"/>
          <w:b w:val="0"/>
          <w:bCs/>
          <w:color w:val="auto"/>
          <w:sz w:val="32"/>
          <w:szCs w:val="32"/>
          <w:highlight w:val="none"/>
          <w:lang w:eastAsia="zh-CN"/>
        </w:rPr>
        <w:t>谈判文件</w:t>
      </w:r>
      <w:r>
        <w:rPr>
          <w:rStyle w:val="14"/>
          <w:rFonts w:hint="eastAsia" w:ascii="黑体" w:hAnsi="黑体" w:eastAsia="黑体" w:cs="黑体"/>
          <w:b w:val="0"/>
          <w:bCs/>
          <w:color w:val="auto"/>
          <w:sz w:val="32"/>
          <w:szCs w:val="32"/>
          <w:highlight w:val="none"/>
        </w:rPr>
        <w:t>的获取</w:t>
      </w:r>
    </w:p>
    <w:p w14:paraId="670B9399">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1、本谈判项目不采用电子谈判</w:t>
      </w:r>
    </w:p>
    <w:p w14:paraId="1F5B00AE">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eastAsia="仿宋_GB2312" w:cs="仿宋_GB2312"/>
          <w:b w:val="0"/>
          <w:color w:val="auto"/>
          <w:spacing w:val="0"/>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cs="仿宋_GB2312"/>
          <w:color w:val="auto"/>
          <w:sz w:val="32"/>
          <w:szCs w:val="32"/>
          <w:highlight w:val="none"/>
          <w:lang w:eastAsia="zh-CN"/>
        </w:rPr>
        <w:t>文件</w:t>
      </w:r>
      <w:r>
        <w:rPr>
          <w:rFonts w:hint="eastAsia" w:ascii="仿宋_GB2312" w:hAnsi="仿宋_GB2312" w:eastAsia="仿宋_GB2312" w:cs="仿宋_GB2312"/>
          <w:color w:val="auto"/>
          <w:sz w:val="32"/>
          <w:szCs w:val="32"/>
          <w:highlight w:val="none"/>
        </w:rPr>
        <w:t>请自行在网站上</w:t>
      </w:r>
      <w:r>
        <w:rPr>
          <w:rFonts w:hint="eastAsia" w:ascii="仿宋_GB2312" w:hAnsi="仿宋_GB2312" w:cs="仿宋_GB2312"/>
          <w:color w:val="auto"/>
          <w:sz w:val="32"/>
          <w:szCs w:val="32"/>
          <w:highlight w:val="none"/>
          <w:lang w:eastAsia="zh-CN"/>
        </w:rPr>
        <w:t>查看：</w:t>
      </w:r>
      <w:r>
        <w:rPr>
          <w:rFonts w:hint="eastAsia" w:ascii="仿宋_GB2312" w:hAnsi="仿宋_GB2312" w:eastAsia="仿宋_GB2312" w:cs="仿宋_GB2312"/>
          <w:b w:val="0"/>
          <w:color w:val="auto"/>
          <w:spacing w:val="0"/>
          <w:sz w:val="32"/>
          <w:szCs w:val="32"/>
          <w:highlight w:val="none"/>
          <w:lang w:val="en-US" w:eastAsia="zh-CN"/>
        </w:rPr>
        <w:fldChar w:fldCharType="begin"/>
      </w:r>
      <w:r>
        <w:rPr>
          <w:rFonts w:hint="eastAsia" w:ascii="仿宋_GB2312" w:hAnsi="仿宋_GB2312" w:eastAsia="仿宋_GB2312" w:cs="仿宋_GB2312"/>
          <w:b w:val="0"/>
          <w:color w:val="auto"/>
          <w:spacing w:val="0"/>
          <w:sz w:val="32"/>
          <w:szCs w:val="32"/>
          <w:highlight w:val="none"/>
          <w:lang w:val="en-US" w:eastAsia="zh-CN"/>
        </w:rPr>
        <w:instrText xml:space="preserve"> HYPERLINK "http://www.fjsj.com/" </w:instrText>
      </w:r>
      <w:r>
        <w:rPr>
          <w:rFonts w:hint="eastAsia" w:ascii="仿宋_GB2312" w:hAnsi="仿宋_GB2312" w:eastAsia="仿宋_GB2312" w:cs="仿宋_GB2312"/>
          <w:b w:val="0"/>
          <w:color w:val="auto"/>
          <w:spacing w:val="0"/>
          <w:sz w:val="32"/>
          <w:szCs w:val="32"/>
          <w:highlight w:val="none"/>
          <w:lang w:val="en-US" w:eastAsia="zh-CN"/>
        </w:rPr>
        <w:fldChar w:fldCharType="separate"/>
      </w:r>
      <w:r>
        <w:rPr>
          <w:rStyle w:val="15"/>
          <w:rFonts w:hint="eastAsia" w:ascii="仿宋_GB2312" w:hAnsi="仿宋_GB2312" w:eastAsia="仿宋_GB2312" w:cs="仿宋_GB2312"/>
          <w:b w:val="0"/>
          <w:color w:val="auto"/>
          <w:spacing w:val="0"/>
          <w:sz w:val="32"/>
          <w:szCs w:val="32"/>
          <w:highlight w:val="none"/>
          <w:lang w:val="en-US" w:eastAsia="zh-CN"/>
        </w:rPr>
        <w:t>http://www.fjsj.com/</w:t>
      </w:r>
      <w:r>
        <w:rPr>
          <w:rFonts w:hint="eastAsia" w:ascii="仿宋_GB2312" w:hAnsi="仿宋_GB2312" w:eastAsia="仿宋_GB2312" w:cs="仿宋_GB2312"/>
          <w:b w:val="0"/>
          <w:color w:val="auto"/>
          <w:spacing w:val="0"/>
          <w:sz w:val="32"/>
          <w:szCs w:val="32"/>
          <w:highlight w:val="none"/>
          <w:lang w:val="en-US" w:eastAsia="zh-CN"/>
        </w:rPr>
        <w:fldChar w:fldCharType="end"/>
      </w:r>
    </w:p>
    <w:p w14:paraId="0E88153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3、项目联系人：</w:t>
      </w:r>
    </w:p>
    <w:p w14:paraId="2CEE669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 xml:space="preserve">李工  </w:t>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 xml:space="preserve">0591-88013014   </w:t>
      </w:r>
    </w:p>
    <w:p w14:paraId="6F27EE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黑体" w:hAnsi="黑体" w:eastAsia="黑体" w:cs="黑体"/>
          <w:b w:val="0"/>
          <w:bCs/>
          <w:color w:val="auto"/>
          <w:sz w:val="32"/>
          <w:szCs w:val="32"/>
          <w:highlight w:val="none"/>
        </w:rPr>
      </w:pPr>
      <w:r>
        <w:rPr>
          <w:rStyle w:val="14"/>
          <w:rFonts w:hint="eastAsia" w:ascii="黑体" w:hAnsi="黑体" w:eastAsia="黑体" w:cs="黑体"/>
          <w:b w:val="0"/>
          <w:bCs/>
          <w:color w:val="auto"/>
          <w:sz w:val="32"/>
          <w:szCs w:val="32"/>
          <w:highlight w:val="none"/>
          <w:lang w:val="en-US" w:eastAsia="zh-CN"/>
        </w:rPr>
        <w:t>七</w:t>
      </w:r>
      <w:r>
        <w:rPr>
          <w:rStyle w:val="14"/>
          <w:rFonts w:hint="eastAsia" w:ascii="黑体" w:hAnsi="黑体" w:eastAsia="黑体" w:cs="黑体"/>
          <w:b w:val="0"/>
          <w:bCs/>
          <w:color w:val="auto"/>
          <w:sz w:val="32"/>
          <w:szCs w:val="32"/>
          <w:highlight w:val="none"/>
        </w:rPr>
        <w:t>、答疑截止时间</w:t>
      </w:r>
    </w:p>
    <w:p w14:paraId="38311A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供应商若要求澄清</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eastAsia="仿宋_GB2312" w:cs="仿宋_GB2312"/>
          <w:color w:val="auto"/>
          <w:sz w:val="32"/>
          <w:szCs w:val="32"/>
          <w:highlight w:val="none"/>
        </w:rPr>
        <w:t>通知书，应在获取</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eastAsia="仿宋_GB2312" w:cs="仿宋_GB2312"/>
          <w:color w:val="auto"/>
          <w:sz w:val="32"/>
          <w:szCs w:val="32"/>
          <w:highlight w:val="none"/>
        </w:rPr>
        <w:t>通知书后的1个工作日内提出，</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将随时解答。</w:t>
      </w:r>
    </w:p>
    <w:p w14:paraId="74FD57BA">
      <w:pPr>
        <w:pStyle w:val="9"/>
        <w:keepNext w:val="0"/>
        <w:keepLines w:val="0"/>
        <w:widowControl/>
        <w:suppressLineNumbers w:val="0"/>
        <w:spacing w:before="0" w:beforeAutospacing="0" w:after="0" w:afterAutospacing="0" w:line="440" w:lineRule="exact"/>
        <w:ind w:left="0" w:firstLine="640" w:firstLineChars="200"/>
        <w:rPr>
          <w:rFonts w:hint="eastAsia" w:ascii="黑体" w:hAnsi="黑体" w:eastAsia="黑体" w:cs="黑体"/>
          <w:b w:val="0"/>
          <w:bCs/>
          <w:color w:val="auto"/>
          <w:sz w:val="32"/>
          <w:szCs w:val="32"/>
          <w:highlight w:val="none"/>
        </w:rPr>
      </w:pPr>
      <w:r>
        <w:rPr>
          <w:rStyle w:val="14"/>
          <w:rFonts w:hint="eastAsia" w:ascii="黑体" w:hAnsi="黑体" w:eastAsia="黑体" w:cs="黑体"/>
          <w:b w:val="0"/>
          <w:bCs/>
          <w:color w:val="auto"/>
          <w:sz w:val="32"/>
          <w:szCs w:val="32"/>
          <w:highlight w:val="none"/>
          <w:lang w:val="en-US" w:eastAsia="zh-CN"/>
        </w:rPr>
        <w:t>八</w:t>
      </w:r>
      <w:r>
        <w:rPr>
          <w:rStyle w:val="14"/>
          <w:rFonts w:hint="eastAsia" w:ascii="黑体" w:hAnsi="黑体" w:eastAsia="黑体" w:cs="黑体"/>
          <w:b w:val="0"/>
          <w:bCs/>
          <w:color w:val="auto"/>
          <w:sz w:val="32"/>
          <w:szCs w:val="32"/>
          <w:highlight w:val="none"/>
        </w:rPr>
        <w:t>、响应文件的要求及递交</w:t>
      </w:r>
    </w:p>
    <w:p w14:paraId="4C696D5C">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（1）响应文件要求：</w:t>
      </w:r>
    </w:p>
    <w:p w14:paraId="5210B807">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1）除谈判文件另有规定外，响应文件应使用附件响应文件模板规定的格式。</w:t>
      </w:r>
    </w:p>
    <w:p w14:paraId="217B6613">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2）除谈判文件另有规定外，响应文件的正本和全部副本均应使用不能擦去的墨料或墨水打印、书写或复印，其中：</w:t>
      </w:r>
    </w:p>
    <w:p w14:paraId="606607FF">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①正本应用A4幅面纸张打印装订，编制封面（封面标明“正本”字样）、索引、页码，并用胶装装订成册。</w:t>
      </w:r>
    </w:p>
    <w:p w14:paraId="7BD5BC89">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②副本应用A4幅面纸张打印装订，编制封面（封面标明“副本”字样）、索引、页码，并用胶装装订成册；副本可用正本的完整复印件，并与正本保持一致（若不一致，以正本为准）。</w:t>
      </w:r>
    </w:p>
    <w:p w14:paraId="7A6D4509">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（2）响应文件递交：</w:t>
      </w:r>
    </w:p>
    <w:p w14:paraId="176F8E8B">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1）响应文件正本1份、副本</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份，分别标明“正本”“副本”字样，并密封加盖供应商公章。响应文件未密封完好将导致谈判被拒绝。</w:t>
      </w:r>
    </w:p>
    <w:p w14:paraId="483C2E0D">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2）首次响应文件递交时间：供应商应在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9</w:t>
      </w:r>
      <w:r>
        <w:rPr>
          <w:rFonts w:hint="eastAsia" w:ascii="仿宋_GB2312" w:hAnsi="仿宋_GB2312" w:eastAsia="仿宋_GB2312" w:cs="仿宋_GB2312"/>
          <w:color w:val="auto"/>
          <w:sz w:val="32"/>
          <w:szCs w:val="32"/>
          <w:highlight w:val="none"/>
        </w:rPr>
        <w:t>时之前将密封的响应文件送达</w:t>
      </w:r>
      <w:r>
        <w:rPr>
          <w:rFonts w:hint="eastAsia" w:ascii="仿宋_GB2312" w:hAnsi="仿宋_GB2312" w:eastAsia="仿宋_GB2312" w:cs="仿宋_GB2312"/>
          <w:color w:val="auto"/>
          <w:sz w:val="32"/>
          <w:szCs w:val="32"/>
          <w:highlight w:val="none"/>
          <w:u w:val="single"/>
          <w:lang w:val="en-US" w:eastAsia="zh-CN"/>
        </w:rPr>
        <w:t>信息科办公室</w:t>
      </w:r>
      <w:r>
        <w:rPr>
          <w:rFonts w:hint="eastAsia" w:ascii="仿宋_GB2312" w:hAnsi="仿宋_GB2312" w:eastAsia="仿宋_GB2312" w:cs="仿宋_GB2312"/>
          <w:color w:val="auto"/>
          <w:sz w:val="32"/>
          <w:szCs w:val="32"/>
          <w:highlight w:val="none"/>
        </w:rPr>
        <w:t>，逾期送达的或不符合规定的响应文件将被拒绝接收。</w:t>
      </w:r>
    </w:p>
    <w:p w14:paraId="770F4533">
      <w:pPr>
        <w:pStyle w:val="9"/>
        <w:keepNext w:val="0"/>
        <w:keepLines w:val="0"/>
        <w:widowControl/>
        <w:suppressLineNumbers w:val="0"/>
        <w:spacing w:before="0" w:beforeAutospacing="0" w:after="0" w:afterAutospacing="0" w:line="440" w:lineRule="exact"/>
        <w:ind w:left="0" w:firstLine="643" w:firstLineChars="200"/>
        <w:rPr>
          <w:rFonts w:hint="eastAsia" w:ascii="黑体" w:hAnsi="黑体" w:eastAsia="黑体" w:cs="黑体"/>
          <w:color w:val="auto"/>
          <w:sz w:val="32"/>
          <w:szCs w:val="32"/>
          <w:highlight w:val="none"/>
        </w:rPr>
      </w:pPr>
      <w:r>
        <w:rPr>
          <w:rStyle w:val="14"/>
          <w:rFonts w:hint="eastAsia" w:ascii="黑体" w:hAnsi="黑体" w:eastAsia="黑体" w:cs="黑体"/>
          <w:color w:val="auto"/>
          <w:sz w:val="32"/>
          <w:szCs w:val="32"/>
          <w:highlight w:val="none"/>
          <w:lang w:val="en-US" w:eastAsia="zh-CN"/>
        </w:rPr>
        <w:t>九</w:t>
      </w:r>
      <w:r>
        <w:rPr>
          <w:rStyle w:val="14"/>
          <w:rFonts w:hint="eastAsia" w:ascii="黑体" w:hAnsi="黑体" w:eastAsia="黑体" w:cs="黑体"/>
          <w:color w:val="auto"/>
          <w:sz w:val="32"/>
          <w:szCs w:val="32"/>
          <w:highlight w:val="none"/>
        </w:rPr>
        <w:t>、开标评标时间地点</w:t>
      </w:r>
    </w:p>
    <w:p w14:paraId="6EE0B30A">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1、响应文件递交截止时间：</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09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（北京时间）</w:t>
      </w:r>
    </w:p>
    <w:p w14:paraId="3723A154">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2、谈判时间：截标后即开始评审</w:t>
      </w:r>
      <w:bookmarkStart w:id="0" w:name="_GoBack"/>
      <w:bookmarkEnd w:id="0"/>
    </w:p>
    <w:p w14:paraId="4994F641">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3、地点：</w:t>
      </w:r>
      <w:r>
        <w:rPr>
          <w:rFonts w:hint="eastAsia" w:ascii="仿宋_GB2312" w:hAnsi="仿宋_GB2312" w:eastAsia="仿宋_GB2312" w:cs="仿宋_GB2312"/>
          <w:color w:val="auto"/>
          <w:sz w:val="32"/>
          <w:szCs w:val="32"/>
          <w:highlight w:val="none"/>
          <w:lang w:eastAsia="zh-CN"/>
        </w:rPr>
        <w:t>建邦大厦会议室</w:t>
      </w:r>
      <w:r>
        <w:rPr>
          <w:rFonts w:hint="eastAsia" w:ascii="仿宋_GB2312" w:hAnsi="仿宋_GB2312" w:eastAsia="仿宋_GB2312" w:cs="仿宋_GB2312"/>
          <w:color w:val="auto"/>
          <w:sz w:val="32"/>
          <w:szCs w:val="32"/>
          <w:highlight w:val="none"/>
          <w:lang w:val="en-US" w:eastAsia="zh-CN"/>
        </w:rPr>
        <w:t xml:space="preserve">    </w:t>
      </w:r>
    </w:p>
    <w:p w14:paraId="42DCF925">
      <w:pPr>
        <w:pStyle w:val="9"/>
        <w:keepNext w:val="0"/>
        <w:keepLines w:val="0"/>
        <w:widowControl/>
        <w:suppressLineNumbers w:val="0"/>
        <w:spacing w:before="0" w:beforeAutospacing="0" w:after="0" w:afterAutospacing="0" w:line="440" w:lineRule="exact"/>
        <w:ind w:left="0" w:firstLine="643" w:firstLineChars="200"/>
        <w:rPr>
          <w:rFonts w:hint="eastAsia" w:ascii="黑体" w:hAnsi="黑体" w:eastAsia="黑体" w:cs="黑体"/>
          <w:color w:val="auto"/>
          <w:sz w:val="32"/>
          <w:szCs w:val="32"/>
          <w:highlight w:val="none"/>
        </w:rPr>
      </w:pPr>
      <w:r>
        <w:rPr>
          <w:rStyle w:val="14"/>
          <w:rFonts w:hint="eastAsia" w:ascii="黑体" w:hAnsi="黑体" w:eastAsia="黑体" w:cs="黑体"/>
          <w:color w:val="auto"/>
          <w:sz w:val="32"/>
          <w:szCs w:val="32"/>
          <w:highlight w:val="none"/>
          <w:lang w:val="en-US" w:eastAsia="zh-CN"/>
        </w:rPr>
        <w:t>十</w:t>
      </w:r>
      <w:r>
        <w:rPr>
          <w:rStyle w:val="14"/>
          <w:rFonts w:hint="eastAsia" w:ascii="黑体" w:hAnsi="黑体" w:eastAsia="黑体" w:cs="黑体"/>
          <w:color w:val="auto"/>
          <w:sz w:val="32"/>
          <w:szCs w:val="32"/>
          <w:highlight w:val="none"/>
        </w:rPr>
        <w:t>、定标原则及办法</w:t>
      </w:r>
    </w:p>
    <w:p w14:paraId="4120E4E3">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1、评标活动遵循公平、公正、科学和择优的原则。</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eastAsia="仿宋_GB2312" w:cs="仿宋_GB2312"/>
          <w:color w:val="auto"/>
          <w:sz w:val="32"/>
          <w:szCs w:val="32"/>
          <w:highlight w:val="none"/>
        </w:rPr>
        <w:t>小组将按照规定对各供应商的响应文件采用相同的程序和标准进行评价和比较，对通过资格及符合性检查的合格供应商进行</w:t>
      </w:r>
      <w:r>
        <w:rPr>
          <w:rFonts w:hint="eastAsia" w:ascii="仿宋_GB2312" w:hAnsi="仿宋_GB2312" w:eastAsia="仿宋_GB2312" w:cs="仿宋_GB2312"/>
          <w:color w:val="auto"/>
          <w:sz w:val="32"/>
          <w:szCs w:val="32"/>
          <w:highlight w:val="none"/>
          <w:lang w:val="en-US" w:eastAsia="zh-CN"/>
        </w:rPr>
        <w:t>综合</w:t>
      </w:r>
      <w:r>
        <w:rPr>
          <w:rFonts w:hint="eastAsia" w:ascii="仿宋_GB2312" w:hAnsi="仿宋_GB2312" w:eastAsia="仿宋_GB2312" w:cs="仿宋_GB2312"/>
          <w:color w:val="auto"/>
          <w:sz w:val="32"/>
          <w:szCs w:val="32"/>
          <w:highlight w:val="none"/>
        </w:rPr>
        <w:t>评估，评议过程严格按照</w:t>
      </w:r>
      <w:r>
        <w:rPr>
          <w:rFonts w:hint="eastAsia" w:ascii="仿宋_GB2312" w:hAnsi="仿宋_GB2312" w:eastAsia="仿宋_GB2312" w:cs="仿宋_GB2312"/>
          <w:color w:val="auto"/>
          <w:sz w:val="32"/>
          <w:szCs w:val="32"/>
          <w:highlight w:val="none"/>
          <w:lang w:val="en-US" w:eastAsia="zh-CN"/>
        </w:rPr>
        <w:t>谈判</w:t>
      </w:r>
      <w:r>
        <w:rPr>
          <w:rFonts w:hint="eastAsia" w:ascii="仿宋_GB2312" w:hAnsi="仿宋_GB2312" w:eastAsia="仿宋_GB2312" w:cs="仿宋_GB2312"/>
          <w:color w:val="auto"/>
          <w:sz w:val="32"/>
          <w:szCs w:val="32"/>
          <w:highlight w:val="none"/>
        </w:rPr>
        <w:t>文件的要求和条件进行。本项目采用最低评标价法。。</w:t>
      </w:r>
    </w:p>
    <w:p w14:paraId="5EF279C4">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2、谈判小组将根据本谈判文件各项要求综合评估，推荐出符合采购要求、符合项目质量和服务要求且报价由</w:t>
      </w:r>
      <w:r>
        <w:rPr>
          <w:rFonts w:hint="eastAsia" w:ascii="仿宋_GB2312" w:hAnsi="仿宋_GB2312" w:eastAsia="仿宋_GB2312" w:cs="仿宋_GB2312"/>
          <w:color w:val="auto"/>
          <w:sz w:val="32"/>
          <w:szCs w:val="32"/>
          <w:highlight w:val="none"/>
          <w:lang w:val="en-US" w:eastAsia="zh-CN"/>
        </w:rPr>
        <w:t>低</w:t>
      </w:r>
      <w:r>
        <w:rPr>
          <w:rFonts w:hint="eastAsia" w:ascii="仿宋_GB2312" w:hAnsi="仿宋_GB2312" w:eastAsia="仿宋_GB2312" w:cs="仿宋_GB2312"/>
          <w:color w:val="auto"/>
          <w:sz w:val="32"/>
          <w:szCs w:val="32"/>
          <w:highlight w:val="none"/>
        </w:rPr>
        <w:t>到</w:t>
      </w:r>
      <w:r>
        <w:rPr>
          <w:rFonts w:hint="eastAsia" w:ascii="仿宋_GB2312" w:hAnsi="仿宋_GB2312" w:eastAsia="仿宋_GB2312" w:cs="仿宋_GB2312"/>
          <w:color w:val="auto"/>
          <w:sz w:val="32"/>
          <w:szCs w:val="32"/>
          <w:highlight w:val="none"/>
          <w:lang w:val="en-US" w:eastAsia="zh-CN"/>
        </w:rPr>
        <w:t>高</w:t>
      </w:r>
      <w:r>
        <w:rPr>
          <w:rFonts w:hint="eastAsia" w:ascii="仿宋_GB2312" w:hAnsi="仿宋_GB2312" w:eastAsia="仿宋_GB2312" w:cs="仿宋_GB2312"/>
          <w:color w:val="auto"/>
          <w:sz w:val="32"/>
          <w:szCs w:val="32"/>
          <w:highlight w:val="none"/>
        </w:rPr>
        <w:t>前三名为本合同包成交候选人（若属于《政府采购非招标采购方式管理办法》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福建省财政厅关于政府采购执行过程中有关规定的通知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（闽财购〔2016〕67号）</w:t>
      </w:r>
      <w:r>
        <w:rPr>
          <w:rFonts w:hint="eastAsia" w:ascii="仿宋_GB2312" w:hAnsi="仿宋_GB2312" w:eastAsia="仿宋_GB2312" w:cs="仿宋_GB2312"/>
          <w:color w:val="auto"/>
          <w:sz w:val="32"/>
          <w:szCs w:val="32"/>
          <w:highlight w:val="none"/>
        </w:rPr>
        <w:t>等相关法律法规及财政部门颁布的规范性文件允许的两家供应商进行竞争性谈判采购情形，本次采购项目仍可以继续进行，推荐前两名为本合同包的成交候选人），确定出符合采购要求、符合项目质量和服务要求且报价最</w:t>
      </w:r>
      <w:r>
        <w:rPr>
          <w:rFonts w:hint="eastAsia" w:ascii="仿宋_GB2312" w:hAnsi="仿宋_GB2312" w:eastAsia="仿宋_GB2312" w:cs="仿宋_GB2312"/>
          <w:color w:val="auto"/>
          <w:sz w:val="32"/>
          <w:szCs w:val="32"/>
          <w:highlight w:val="none"/>
          <w:lang w:eastAsia="zh-CN"/>
        </w:rPr>
        <w:t>低</w:t>
      </w:r>
      <w:r>
        <w:rPr>
          <w:rFonts w:hint="eastAsia" w:ascii="仿宋_GB2312" w:hAnsi="仿宋_GB2312" w:eastAsia="仿宋_GB2312" w:cs="仿宋_GB2312"/>
          <w:color w:val="auto"/>
          <w:sz w:val="32"/>
          <w:szCs w:val="32"/>
          <w:highlight w:val="none"/>
        </w:rPr>
        <w:t>者为本项目成交人（若出现报价相同的情况，则由谈判小组按随机抽取方式确定最终成交候选人）。</w:t>
      </w:r>
    </w:p>
    <w:p w14:paraId="6D6DBD4F">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3、响应文件无效条款（不满足即为无效响应的实质性条款）及废标条款：具体内容详见竞争性谈判文件各章节，请各供应商认真查看对照。</w:t>
      </w:r>
    </w:p>
    <w:p w14:paraId="49F49A8E">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3.1、供应商若出现下列情形之一的，响应文件也将被视为未实质性响应谈判文件要求，按照无效报价处理：</w:t>
      </w:r>
    </w:p>
    <w:p w14:paraId="62AA8E72">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(1)未符合谈判文件规定资格标准“供应商资格要求及审查办法”的按照无效响应处理；</w:t>
      </w:r>
    </w:p>
    <w:p w14:paraId="3016B6C2">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(2)未符合《服务（货物）一览表》及“采购内容及要求”中的技术要求的按照无效响应处理；</w:t>
      </w:r>
    </w:p>
    <w:p w14:paraId="6684366A">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(3)响应文件未按照谈判文件要求的规定进行密封、标记的；</w:t>
      </w:r>
    </w:p>
    <w:p w14:paraId="57482986">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(4)未按规定由供应商的法定代表人或其授权代表签字，或未加盖供应商公章的；或签字人未经法定代表人有效授权委托的；</w:t>
      </w:r>
    </w:p>
    <w:p w14:paraId="72CF89E9">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(5)一个供应商不止投一个标；</w:t>
      </w:r>
    </w:p>
    <w:p w14:paraId="6ADC0ED2">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(6)供应商提交的是可选择的报价；</w:t>
      </w:r>
    </w:p>
    <w:p w14:paraId="57A1A239">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(7)响应文件组成不符合谈判文件要求的；</w:t>
      </w:r>
    </w:p>
    <w:p w14:paraId="4B4EB5D5">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(8)响应文件中提供虚假或失实资料的；</w:t>
      </w:r>
    </w:p>
    <w:p w14:paraId="0BAC22D3">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(9)未按规定签字、提交封面盖公章，并加盖骑缝章且每页盖公章(非报价专用章或业务章)的；</w:t>
      </w:r>
    </w:p>
    <w:p w14:paraId="2E91582B">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(10)供应商名称或组织结构与资格性审查时不一致且未提供有效证明的；</w:t>
      </w:r>
    </w:p>
    <w:p w14:paraId="2E6A9D8E">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(11)响应文件附有采购人不能接受的条件；</w:t>
      </w:r>
    </w:p>
    <w:p w14:paraId="4DFD8E17">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(12)不符合谈判文件中规定的实质性要求和条件、实质性条款、无效报价条款的。</w:t>
      </w:r>
    </w:p>
    <w:p w14:paraId="0276D508">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3.2、出现下列情形之一的，按废标处理：</w:t>
      </w:r>
    </w:p>
    <w:p w14:paraId="5F0B5A39">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①符合专业条件的供应商或者对谈判文件作实质响应的供应商不足</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家的；</w:t>
      </w:r>
    </w:p>
    <w:p w14:paraId="58FD15B7">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②出现影响采购公正的违法、违规行为的；</w:t>
      </w:r>
    </w:p>
    <w:p w14:paraId="258BF88F">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③供应商的报价</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color w:val="auto"/>
          <w:sz w:val="32"/>
          <w:szCs w:val="32"/>
          <w:highlight w:val="none"/>
        </w:rPr>
        <w:t>于最</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color w:val="auto"/>
          <w:sz w:val="32"/>
          <w:szCs w:val="32"/>
          <w:highlight w:val="none"/>
        </w:rPr>
        <w:t>限价的；</w:t>
      </w:r>
    </w:p>
    <w:p w14:paraId="62D27CEA">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④因重大变故，采购任务取消的。</w:t>
      </w:r>
    </w:p>
    <w:p w14:paraId="024B23AF">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4、供应商之间有相互串通投标、弄虚作假等违规行为者，将作废标处理，并在我院未来的项目</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中被拒绝接受投标。</w:t>
      </w:r>
    </w:p>
    <w:p w14:paraId="5471AED3">
      <w:pPr>
        <w:pStyle w:val="9"/>
        <w:keepNext w:val="0"/>
        <w:keepLines w:val="0"/>
        <w:widowControl/>
        <w:suppressLineNumbers w:val="0"/>
        <w:spacing w:before="0" w:beforeAutospacing="0" w:after="0" w:afterAutospacing="0" w:line="440" w:lineRule="exact"/>
        <w:ind w:left="0" w:firstLine="643" w:firstLineChars="200"/>
        <w:rPr>
          <w:rFonts w:hint="eastAsia" w:ascii="黑体" w:hAnsi="黑体" w:eastAsia="黑体" w:cs="黑体"/>
          <w:color w:val="auto"/>
          <w:sz w:val="32"/>
          <w:szCs w:val="32"/>
          <w:highlight w:val="none"/>
        </w:rPr>
      </w:pPr>
      <w:r>
        <w:rPr>
          <w:rStyle w:val="14"/>
          <w:rFonts w:hint="eastAsia" w:ascii="黑体" w:hAnsi="黑体" w:eastAsia="黑体" w:cs="黑体"/>
          <w:color w:val="auto"/>
          <w:sz w:val="32"/>
          <w:szCs w:val="32"/>
          <w:highlight w:val="none"/>
          <w:lang w:eastAsia="zh-CN"/>
        </w:rPr>
        <w:t>十</w:t>
      </w:r>
      <w:r>
        <w:rPr>
          <w:rStyle w:val="14"/>
          <w:rFonts w:hint="eastAsia" w:ascii="黑体" w:hAnsi="黑体" w:eastAsia="黑体" w:cs="黑体"/>
          <w:color w:val="auto"/>
          <w:sz w:val="32"/>
          <w:szCs w:val="32"/>
          <w:highlight w:val="none"/>
          <w:lang w:val="en-US" w:eastAsia="zh-CN"/>
        </w:rPr>
        <w:t>一</w:t>
      </w:r>
      <w:r>
        <w:rPr>
          <w:rStyle w:val="14"/>
          <w:rFonts w:hint="eastAsia" w:ascii="黑体" w:hAnsi="黑体" w:eastAsia="黑体" w:cs="黑体"/>
          <w:color w:val="auto"/>
          <w:sz w:val="32"/>
          <w:szCs w:val="32"/>
          <w:highlight w:val="none"/>
        </w:rPr>
        <w:t>、合同条款内容及签订</w:t>
      </w:r>
    </w:p>
    <w:p w14:paraId="39781CCE">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1、合同签订：成交人在接到成交通知后3天内，应派代表与</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联系，商讨签订合同事宜。</w:t>
      </w:r>
    </w:p>
    <w:p w14:paraId="081105E5">
      <w:pPr>
        <w:pStyle w:val="9"/>
        <w:keepNext w:val="0"/>
        <w:keepLines w:val="0"/>
        <w:widowControl/>
        <w:suppressLineNumbers w:val="0"/>
        <w:spacing w:before="0" w:beforeAutospacing="0" w:after="0" w:afterAutospacing="0" w:line="440" w:lineRule="exact"/>
        <w:ind w:lef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、合同签订地点：</w:t>
      </w:r>
      <w:r>
        <w:rPr>
          <w:rFonts w:hint="eastAsia" w:ascii="仿宋_GB2312" w:hAnsi="仿宋_GB2312" w:eastAsia="仿宋_GB2312" w:cs="仿宋_GB2312"/>
          <w:color w:val="auto"/>
          <w:sz w:val="32"/>
          <w:szCs w:val="32"/>
          <w:highlight w:val="none"/>
          <w:lang w:eastAsia="zh-CN"/>
        </w:rPr>
        <w:t>福州</w:t>
      </w:r>
    </w:p>
    <w:sectPr>
      <w:footerReference r:id="rId5" w:type="default"/>
      <w:pgSz w:w="11906" w:h="16838"/>
      <w:pgMar w:top="1247" w:right="1587" w:bottom="1134" w:left="1587" w:header="851" w:footer="992" w:gutter="0"/>
      <w:lnNumType w:countBy="0"/>
      <w:pgNumType w:start="1"/>
      <w:cols w:space="425" w:num="1"/>
      <w:vAlign w:val="top"/>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爸爸的米袋" w:date="2025-08-06T09:50:52Z" w:initials="">
    <w:p w14:paraId="1FFE615D">
      <w:pPr>
        <w:pStyle w:val="3"/>
        <w:rPr>
          <w:rFonts w:hint="default" w:eastAsia="宋体"/>
          <w:lang w:val="en-US" w:eastAsia="zh-CN"/>
        </w:rPr>
      </w:pPr>
      <w:r>
        <w:rPr>
          <w:rFonts w:hint="eastAsia"/>
          <w:lang w:val="en-US" w:eastAsia="zh-CN"/>
        </w:rPr>
        <w:t>内网？互联网？</w:t>
      </w:r>
    </w:p>
  </w:comment>
  <w:comment w:id="1" w:author="爸爸的米袋" w:date="2025-08-06T09:46:19Z" w:initials="">
    <w:p w14:paraId="4C5CC6BF">
      <w:pPr>
        <w:pStyle w:val="3"/>
        <w:rPr>
          <w:rFonts w:hint="default" w:eastAsia="宋体"/>
          <w:lang w:val="en-US" w:eastAsia="zh-CN"/>
        </w:rPr>
      </w:pPr>
      <w:r>
        <w:rPr>
          <w:rFonts w:hint="eastAsia"/>
          <w:lang w:val="en-US" w:eastAsia="zh-CN"/>
        </w:rPr>
        <w:t>在收到采购人通知后一个工作日内</w:t>
      </w:r>
    </w:p>
  </w:comment>
  <w:comment w:id="2" w:author="爸爸的米袋" w:date="2025-08-06T13:06:35Z" w:initials="">
    <w:p w14:paraId="1FBF6A5C">
      <w:pPr>
        <w:pStyle w:val="3"/>
        <w:rPr>
          <w:rFonts w:hint="default" w:eastAsia="宋体"/>
          <w:lang w:val="en-US" w:eastAsia="zh-CN"/>
        </w:rPr>
      </w:pPr>
      <w:r>
        <w:rPr>
          <w:rFonts w:hint="eastAsia"/>
          <w:lang w:val="en-US" w:eastAsia="zh-CN"/>
        </w:rPr>
        <w:t>按实际修改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FE615D" w15:done="0"/>
  <w15:commentEx w15:paraId="4C5CC6BF" w15:done="0"/>
  <w15:commentEx w15:paraId="1FBF6A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AD58BA-E04A-4515-A1D5-773D07A952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9AB02F-D41D-4820-8676-8D74E30DCB07}"/>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EC7D55B9-DA39-40B6-ACB7-6D5D22BD9526}"/>
  </w:font>
  <w:font w:name="Arial Unicode MS">
    <w:altName w:val="Arial"/>
    <w:panose1 w:val="020B0604020202020204"/>
    <w:charset w:val="00"/>
    <w:family w:val="swiss"/>
    <w:pitch w:val="default"/>
    <w:sig w:usb0="00000000" w:usb1="00000000" w:usb2="0000003F" w:usb3="00000000" w:csb0="003F01FF" w:csb1="00000000"/>
  </w:font>
  <w:font w:name="方正小标宋简体">
    <w:panose1 w:val="02010600010101010101"/>
    <w:charset w:val="86"/>
    <w:family w:val="auto"/>
    <w:pitch w:val="default"/>
    <w:sig w:usb0="00000001" w:usb1="080E0000" w:usb2="00000000" w:usb3="00000000" w:csb0="00040000" w:csb1="00000000"/>
    <w:embedRegular r:id="rId4" w:fontKey="{F0FF13DD-9791-455B-B919-9AA05867DDF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6F82">
    <w:pPr>
      <w:pStyle w:val="8"/>
      <w:widowControl/>
      <w:snapToGrid w:val="0"/>
      <w:jc w:val="left"/>
      <w:textAlignment w:val="baseline"/>
      <w:rPr>
        <w:rStyle w:val="18"/>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44B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3F44B1">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Style w:val="18"/>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BAA31">
                          <w:pPr>
                            <w:pStyle w:val="8"/>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14:paraId="09CBAA31">
                    <w:pPr>
                      <w:pStyle w:val="8"/>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22549"/>
    <w:multiLevelType w:val="singleLevel"/>
    <w:tmpl w:val="2DB22549"/>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爸爸的米袋">
    <w15:presenceInfo w15:providerId="WPS Office" w15:userId="389927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c5ZmIyZmU2YzUwNjUzYjY4M2M2MmFlNzcyODIifQ=="/>
  </w:docVars>
  <w:rsids>
    <w:rsidRoot w:val="6A1967F4"/>
    <w:rsid w:val="04652B27"/>
    <w:rsid w:val="049B2F06"/>
    <w:rsid w:val="0532192F"/>
    <w:rsid w:val="06140771"/>
    <w:rsid w:val="06EC6EEE"/>
    <w:rsid w:val="07907EFE"/>
    <w:rsid w:val="07A80859"/>
    <w:rsid w:val="08B71858"/>
    <w:rsid w:val="0B754EF6"/>
    <w:rsid w:val="0C1C223F"/>
    <w:rsid w:val="0C580AA0"/>
    <w:rsid w:val="0E2C4469"/>
    <w:rsid w:val="10B64F82"/>
    <w:rsid w:val="110B3F03"/>
    <w:rsid w:val="124754CB"/>
    <w:rsid w:val="13876815"/>
    <w:rsid w:val="16007DED"/>
    <w:rsid w:val="16A1506E"/>
    <w:rsid w:val="170B4961"/>
    <w:rsid w:val="187327BD"/>
    <w:rsid w:val="19A47707"/>
    <w:rsid w:val="1CBE7BEF"/>
    <w:rsid w:val="1FE950B6"/>
    <w:rsid w:val="20241715"/>
    <w:rsid w:val="20DC33DB"/>
    <w:rsid w:val="22F40F6B"/>
    <w:rsid w:val="263230B7"/>
    <w:rsid w:val="267F7CFE"/>
    <w:rsid w:val="27EE2107"/>
    <w:rsid w:val="2B25034B"/>
    <w:rsid w:val="2B3E3497"/>
    <w:rsid w:val="31185E33"/>
    <w:rsid w:val="31B475C5"/>
    <w:rsid w:val="32AB7AA1"/>
    <w:rsid w:val="338E6E30"/>
    <w:rsid w:val="340F06E9"/>
    <w:rsid w:val="39CB2002"/>
    <w:rsid w:val="3B3135D0"/>
    <w:rsid w:val="3BFA40BE"/>
    <w:rsid w:val="3EE35FD4"/>
    <w:rsid w:val="3F5A35B5"/>
    <w:rsid w:val="45AE54CB"/>
    <w:rsid w:val="48242D33"/>
    <w:rsid w:val="48403BBB"/>
    <w:rsid w:val="4D0354AC"/>
    <w:rsid w:val="4D115206"/>
    <w:rsid w:val="4D7B21B1"/>
    <w:rsid w:val="4E681CBD"/>
    <w:rsid w:val="4F9251CB"/>
    <w:rsid w:val="50777161"/>
    <w:rsid w:val="51066946"/>
    <w:rsid w:val="52944000"/>
    <w:rsid w:val="53DE53F7"/>
    <w:rsid w:val="54C45EFA"/>
    <w:rsid w:val="58317A7F"/>
    <w:rsid w:val="58E92147"/>
    <w:rsid w:val="5A92249C"/>
    <w:rsid w:val="5DEF56D6"/>
    <w:rsid w:val="5E5759AC"/>
    <w:rsid w:val="5FA41C3A"/>
    <w:rsid w:val="620F6680"/>
    <w:rsid w:val="6226372E"/>
    <w:rsid w:val="624B5C98"/>
    <w:rsid w:val="632F034D"/>
    <w:rsid w:val="63494BBA"/>
    <w:rsid w:val="664A1589"/>
    <w:rsid w:val="67DB550D"/>
    <w:rsid w:val="6A1967F4"/>
    <w:rsid w:val="6A564261"/>
    <w:rsid w:val="6A900D9B"/>
    <w:rsid w:val="6C7C016B"/>
    <w:rsid w:val="6D2F6881"/>
    <w:rsid w:val="6DCB4621"/>
    <w:rsid w:val="6F923C98"/>
    <w:rsid w:val="72B234CC"/>
    <w:rsid w:val="742F667C"/>
    <w:rsid w:val="760E2E10"/>
    <w:rsid w:val="79895C20"/>
    <w:rsid w:val="7E68119A"/>
    <w:rsid w:val="7F9B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pPr>
      <w:ind w:left="455"/>
    </w:pPr>
    <w:rPr>
      <w:rFonts w:ascii="宋体" w:hAnsi="宋体" w:eastAsia="宋体" w:cs="宋体"/>
      <w:sz w:val="24"/>
      <w:szCs w:val="24"/>
      <w:lang w:val="zh-CN" w:eastAsia="zh-CN" w:bidi="zh-CN"/>
    </w:rPr>
  </w:style>
  <w:style w:type="paragraph" w:styleId="5">
    <w:name w:val="Body Text 2"/>
    <w:basedOn w:val="1"/>
    <w:qFormat/>
    <w:uiPriority w:val="0"/>
    <w:pPr>
      <w:spacing w:after="120" w:line="480" w:lineRule="auto"/>
    </w:pPr>
    <w:rPr>
      <w:kern w:val="2"/>
      <w:sz w:val="21"/>
    </w:rPr>
  </w:style>
  <w:style w:type="paragraph" w:styleId="6">
    <w:name w:val="Body Text Indent"/>
    <w:basedOn w:val="1"/>
    <w:next w:val="7"/>
    <w:qFormat/>
    <w:uiPriority w:val="0"/>
    <w:pPr>
      <w:spacing w:after="120" w:afterLines="0"/>
      <w:ind w:left="420" w:leftChars="200"/>
    </w:pPr>
    <w:rPr>
      <w:rFonts w:ascii="宋体" w:hAnsi="宋体"/>
      <w:sz w:val="24"/>
    </w:rPr>
  </w:style>
  <w:style w:type="paragraph" w:styleId="7">
    <w:name w:val="Body Text First Indent 2"/>
    <w:basedOn w:val="6"/>
    <w:qFormat/>
    <w:uiPriority w:val="0"/>
    <w:pPr>
      <w:spacing w:after="120" w:afterLines="0" w:line="240" w:lineRule="auto"/>
      <w:ind w:left="420" w:leftChars="200" w:firstLine="420" w:firstLineChars="200"/>
    </w:pPr>
  </w:style>
  <w:style w:type="paragraph" w:styleId="8">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link w:val="1"/>
    <w:qFormat/>
    <w:uiPriority w:val="0"/>
    <w:rPr>
      <w:b/>
    </w:rPr>
  </w:style>
  <w:style w:type="character" w:styleId="15">
    <w:name w:val="Hyperlink"/>
    <w:basedOn w:val="13"/>
    <w:qFormat/>
    <w:uiPriority w:val="0"/>
    <w:rPr>
      <w:color w:val="0000FF"/>
      <w:u w:val="single"/>
    </w:r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character" w:customStyle="1" w:styleId="18">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9">
    <w:name w:val="UserStyle_7"/>
    <w:qFormat/>
    <w:uiPriority w:val="0"/>
    <w:pPr>
      <w:widowControl/>
      <w:ind w:leftChars="0"/>
      <w:textAlignment w:val="baseline"/>
    </w:pPr>
    <w:rPr>
      <w:rFonts w:ascii="Calibri" w:hAnsi="Calibri" w:eastAsia="宋体" w:cstheme="minorBidi"/>
      <w:sz w:val="20"/>
      <w:szCs w:val="20"/>
      <w:lang w:val="en-US"/>
    </w:rPr>
  </w:style>
  <w:style w:type="paragraph" w:customStyle="1" w:styleId="20">
    <w:name w:val="BodyText"/>
    <w:basedOn w:val="1"/>
    <w:next w:val="21"/>
    <w:qFormat/>
    <w:uiPriority w:val="0"/>
    <w:pPr>
      <w:ind w:left="455"/>
      <w:jc w:val="both"/>
      <w:textAlignment w:val="baseline"/>
    </w:pPr>
    <w:rPr>
      <w:rFonts w:ascii="宋体" w:hAnsi="宋体" w:eastAsia="宋体"/>
      <w:kern w:val="2"/>
      <w:sz w:val="24"/>
      <w:szCs w:val="24"/>
      <w:lang w:val="zh-CN" w:eastAsia="zh-CN" w:bidi="zh-CN"/>
    </w:rPr>
  </w:style>
  <w:style w:type="paragraph" w:customStyle="1" w:styleId="21">
    <w:name w:val="BodyText2"/>
    <w:basedOn w:val="1"/>
    <w:qFormat/>
    <w:uiPriority w:val="0"/>
    <w:pPr>
      <w:spacing w:after="120" w:line="480" w:lineRule="auto"/>
      <w:jc w:val="both"/>
      <w:textAlignment w:val="baseline"/>
    </w:pPr>
    <w:rPr>
      <w:rFonts w:ascii="Calibri" w:hAnsi="Calibri" w:eastAsia="宋体"/>
      <w:kern w:val="2"/>
      <w:sz w:val="21"/>
      <w:szCs w:val="24"/>
      <w:lang w:val="en-US" w:eastAsia="zh-CN" w:bidi="ar-SA"/>
    </w:rPr>
  </w:style>
  <w:style w:type="paragraph" w:customStyle="1" w:styleId="22">
    <w:name w:val="HtmlNormal"/>
    <w:basedOn w:val="1"/>
    <w:next w:val="23"/>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3">
    <w:name w:val="UserStyle_1"/>
    <w:basedOn w:val="24"/>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0" w:after="0" w:line="400" w:lineRule="exact"/>
      <w:jc w:val="both"/>
      <w:textAlignment w:val="baseline"/>
    </w:pPr>
    <w:rPr>
      <w:rFonts w:ascii="Times New Roman" w:hAnsi="Times New Roman" w:eastAsia="黑体"/>
      <w:b w:val="0"/>
      <w:bCs w:val="0"/>
      <w:kern w:val="1"/>
      <w:sz w:val="24"/>
      <w:szCs w:val="24"/>
      <w:lang w:val="en-US" w:eastAsia="zh-CN" w:bidi="ar-SA"/>
    </w:rPr>
  </w:style>
  <w:style w:type="paragraph" w:customStyle="1" w:styleId="24">
    <w:name w:val="Heading3"/>
    <w:next w:val="1"/>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260" w:after="260" w:line="416" w:lineRule="atLeast"/>
      <w:jc w:val="both"/>
      <w:textAlignment w:val="baseline"/>
    </w:pPr>
    <w:rPr>
      <w:rFonts w:ascii="Times New Roman" w:hAnsi="Times New Roman" w:eastAsia="宋体" w:cs="Times New Roman"/>
      <w:b/>
      <w:bCs/>
      <w:kern w:val="1"/>
      <w:sz w:val="32"/>
      <w:szCs w:val="32"/>
      <w:lang w:val="en-US" w:eastAsia="zh-CN" w:bidi="ar-SA"/>
    </w:rPr>
  </w:style>
  <w:style w:type="character" w:customStyle="1" w:styleId="25">
    <w:name w:val="UserStyle_2"/>
    <w:basedOn w:val="18"/>
    <w:link w:val="1"/>
    <w:qFormat/>
    <w:uiPriority w:val="0"/>
    <w:rPr>
      <w:rFonts w:ascii="仿宋_GB2312" w:eastAsia="仿宋_GB2312"/>
      <w:color w:val="000000"/>
      <w:sz w:val="20"/>
      <w:szCs w:val="20"/>
    </w:rPr>
  </w:style>
  <w:style w:type="paragraph" w:customStyle="1" w:styleId="26">
    <w:name w:val="null3"/>
    <w:qFormat/>
    <w:uiPriority w:val="0"/>
    <w:rPr>
      <w:rFonts w:hint="eastAsia" w:ascii="Calibri" w:hAnsi="Calibri" w:eastAsia="宋体" w:cs="Times New Roman"/>
      <w:lang w:val="en-US" w:eastAsia="zh-CN" w:bidi="ar-SA"/>
    </w:r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4993</Words>
  <Characters>5277</Characters>
  <Lines>0</Lines>
  <Paragraphs>0</Paragraphs>
  <TotalTime>17</TotalTime>
  <ScaleCrop>false</ScaleCrop>
  <LinksUpToDate>false</LinksUpToDate>
  <CharactersWithSpaces>5298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2023-11-20T01:20:00Z</dcterms:created>
  <dc:creator>Scrat丶</dc:creator>
  <cp:lastModifiedBy>李津</cp:lastModifiedBy>
  <cp:lastPrinted>2025-08-07T00:44:00Z</cp:lastPrinted>
  <dcterms:modified xsi:type="dcterms:W3CDTF">2025-08-08T08:02:03Z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E3D9587D40234021A8BB07EAF4FF916A_13</vt:lpwstr>
  </property>
  <property fmtid="{D5CDD505-2E9C-101B-9397-08002B2CF9AE}" pid="4" name="KSOTemplateDocerSaveRecord">
    <vt:lpwstr>eyJoZGlkIjoiNjBhY2Q1M2U5MjFlNzFkYTYwZmU5ZDI5MDYwMTA3NWUiLCJ1c2VySWQiOiIyNzI4MDk1MzYifQ==</vt:lpwstr>
  </property>
</Properties>
</file>