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4C88">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福建省级机关医院卡巴斯基软件服务项目</w:t>
      </w:r>
    </w:p>
    <w:p w14:paraId="207AF3DC">
      <w:pPr>
        <w:keepNext w:val="0"/>
        <w:keepLines w:val="0"/>
        <w:pageBreakBefore w:val="0"/>
        <w:widowControl/>
        <w:numPr>
          <w:ilvl w:val="0"/>
          <w:numId w:val="0"/>
        </w:numPr>
        <w:kinsoku/>
        <w:wordWrap/>
        <w:overflowPunct/>
        <w:topLinePunct w:val="0"/>
        <w:autoSpaceDE/>
        <w:autoSpaceDN/>
        <w:bidi w:val="0"/>
        <w:adjustRightInd/>
        <w:snapToGrid/>
        <w:spacing w:line="320" w:lineRule="exact"/>
        <w:jc w:val="center"/>
        <w:rPr>
          <w:rFonts w:hint="default"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院内自行采购文件</w:t>
      </w:r>
    </w:p>
    <w:p w14:paraId="54106785">
      <w:pPr>
        <w:pStyle w:val="17"/>
        <w:keepNext w:val="0"/>
        <w:keepLines w:val="0"/>
        <w:pageBreakBefore w:val="0"/>
        <w:kinsoku/>
        <w:wordWrap/>
        <w:topLinePunct w:val="0"/>
        <w:bidi w:val="0"/>
        <w:snapToGrid/>
        <w:spacing w:line="320" w:lineRule="exact"/>
        <w:rPr>
          <w:rFonts w:hint="eastAsia"/>
          <w:lang w:eastAsia="zh-CN"/>
        </w:rPr>
      </w:pPr>
    </w:p>
    <w:p w14:paraId="0E324534">
      <w:pPr>
        <w:keepNext w:val="0"/>
        <w:keepLines w:val="0"/>
        <w:pageBreakBefore w:val="0"/>
        <w:widowControl/>
        <w:kinsoku/>
        <w:wordWrap/>
        <w:overflowPunct/>
        <w:topLinePunct w:val="0"/>
        <w:autoSpaceDE/>
        <w:autoSpaceDN/>
        <w:bidi w:val="0"/>
        <w:adjustRightInd/>
        <w:snapToGrid/>
        <w:spacing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福建省级机关医院</w:t>
      </w:r>
      <w:r>
        <w:rPr>
          <w:rFonts w:hint="eastAsia" w:ascii="方正仿宋_GB2312" w:hAnsi="方正仿宋_GB2312" w:eastAsia="方正仿宋_GB2312" w:cs="方正仿宋_GB2312"/>
          <w:color w:val="auto"/>
          <w:sz w:val="28"/>
          <w:szCs w:val="28"/>
          <w:highlight w:val="none"/>
        </w:rPr>
        <w:t>组织院内</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活动，现欢迎国内合格的供应商前来提交密封的响应文件。</w:t>
      </w:r>
    </w:p>
    <w:p w14:paraId="41073D2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2" w:firstLineChars="200"/>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eastAsia="zh-CN"/>
        </w:rPr>
        <w:t>一、采购</w:t>
      </w:r>
      <w:r>
        <w:rPr>
          <w:rStyle w:val="14"/>
          <w:rFonts w:hint="eastAsia" w:ascii="方正仿宋_GB2312" w:hAnsi="方正仿宋_GB2312" w:eastAsia="方正仿宋_GB2312" w:cs="方正仿宋_GB2312"/>
          <w:b/>
          <w:bCs w:val="0"/>
          <w:color w:val="auto"/>
          <w:sz w:val="28"/>
          <w:szCs w:val="28"/>
          <w:highlight w:val="none"/>
        </w:rPr>
        <w:t>项目概况和范围</w:t>
      </w:r>
    </w:p>
    <w:p w14:paraId="283A8A5A">
      <w:pPr>
        <w:keepNext w:val="0"/>
        <w:keepLines w:val="0"/>
        <w:pageBreakBefore w:val="0"/>
        <w:widowControl/>
        <w:numPr>
          <w:ilvl w:val="0"/>
          <w:numId w:val="0"/>
        </w:numPr>
        <w:kinsoku/>
        <w:wordWrap/>
        <w:overflowPunct/>
        <w:topLinePunct w:val="0"/>
        <w:autoSpaceDE/>
        <w:autoSpaceDN/>
        <w:bidi w:val="0"/>
        <w:adjustRightInd/>
        <w:snapToGrid/>
        <w:spacing w:line="360" w:lineRule="exact"/>
        <w:ind w:firstLine="560" w:firstLineChars="200"/>
        <w:jc w:val="both"/>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项目名称：福建省级机关医院卡巴斯基软件服务</w:t>
      </w:r>
      <w:r>
        <w:rPr>
          <w:rFonts w:hint="eastAsia" w:ascii="方正仿宋_GB2312" w:hAnsi="方正仿宋_GB2312" w:eastAsia="方正仿宋_GB2312" w:cs="方正仿宋_GB2312"/>
          <w:color w:val="auto"/>
          <w:sz w:val="28"/>
          <w:szCs w:val="28"/>
          <w:highlight w:val="none"/>
          <w:lang w:val="en-US" w:eastAsia="zh-CN"/>
        </w:rPr>
        <w:t>院内自行采购项目</w:t>
      </w:r>
    </w:p>
    <w:p w14:paraId="0DD970B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lang w:eastAsia="zh-CN"/>
        </w:rPr>
        <w:t>项目编号：</w:t>
      </w:r>
      <w:r>
        <w:rPr>
          <w:rFonts w:hint="eastAsia" w:ascii="方正仿宋_GB2312" w:hAnsi="方正仿宋_GB2312" w:eastAsia="方正仿宋_GB2312" w:cs="方正仿宋_GB2312"/>
          <w:color w:val="auto"/>
          <w:sz w:val="28"/>
          <w:szCs w:val="28"/>
          <w:highlight w:val="none"/>
          <w:lang w:val="en-US" w:eastAsia="zh-CN"/>
        </w:rPr>
        <w:t>FJSJJGYY-XXK-2025-06-1（KBSJRJFW）</w:t>
      </w:r>
    </w:p>
    <w:p w14:paraId="25FFC6E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范围和内容：详见本项目采购内容及要求中的全部内容。</w:t>
      </w:r>
    </w:p>
    <w:p w14:paraId="156C75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本项目预算金额：</w:t>
      </w:r>
      <w:r>
        <w:rPr>
          <w:rFonts w:hint="eastAsia" w:ascii="方正仿宋_GB2312" w:hAnsi="方正仿宋_GB2312" w:eastAsia="方正仿宋_GB2312" w:cs="方正仿宋_GB2312"/>
          <w:color w:val="auto"/>
          <w:sz w:val="28"/>
          <w:szCs w:val="28"/>
          <w:highlight w:val="none"/>
          <w:lang w:val="en-US" w:eastAsia="zh-CN"/>
        </w:rPr>
        <w:t>90000.00</w:t>
      </w:r>
      <w:r>
        <w:rPr>
          <w:rFonts w:hint="eastAsia" w:ascii="方正仿宋_GB2312" w:hAnsi="方正仿宋_GB2312" w:eastAsia="方正仿宋_GB2312" w:cs="方正仿宋_GB2312"/>
          <w:color w:val="auto"/>
          <w:sz w:val="28"/>
          <w:szCs w:val="28"/>
          <w:highlight w:val="none"/>
        </w:rPr>
        <w:t>元</w:t>
      </w:r>
    </w:p>
    <w:p w14:paraId="75A4CF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5.服务期限：2025年11月3日-2028年11月2日。</w:t>
      </w:r>
    </w:p>
    <w:p w14:paraId="1D93058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6.</w:t>
      </w:r>
      <w:r>
        <w:rPr>
          <w:rFonts w:hint="eastAsia" w:ascii="方正仿宋_GB2312" w:hAnsi="方正仿宋_GB2312" w:eastAsia="方正仿宋_GB2312" w:cs="方正仿宋_GB2312"/>
          <w:color w:val="auto"/>
          <w:sz w:val="28"/>
          <w:szCs w:val="28"/>
          <w:highlight w:val="none"/>
        </w:rPr>
        <w:t>服务（货物）一览表</w:t>
      </w:r>
    </w:p>
    <w:tbl>
      <w:tblPr>
        <w:tblStyle w:val="1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6"/>
        <w:gridCol w:w="1169"/>
        <w:gridCol w:w="2736"/>
        <w:gridCol w:w="1146"/>
        <w:gridCol w:w="1740"/>
        <w:gridCol w:w="1648"/>
      </w:tblGrid>
      <w:tr w14:paraId="1E07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jc w:val="center"/>
        </w:trPr>
        <w:tc>
          <w:tcPr>
            <w:tcW w:w="1146" w:type="dxa"/>
            <w:shd w:val="clear" w:color="auto" w:fill="auto"/>
            <w:vAlign w:val="center"/>
          </w:tcPr>
          <w:p w14:paraId="1129B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w:t>
            </w:r>
          </w:p>
        </w:tc>
        <w:tc>
          <w:tcPr>
            <w:tcW w:w="1169" w:type="dxa"/>
            <w:shd w:val="clear" w:color="auto" w:fill="auto"/>
            <w:vAlign w:val="center"/>
          </w:tcPr>
          <w:p w14:paraId="5E229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品目号</w:t>
            </w:r>
          </w:p>
        </w:tc>
        <w:tc>
          <w:tcPr>
            <w:tcW w:w="2736" w:type="dxa"/>
            <w:shd w:val="clear" w:color="auto" w:fill="auto"/>
            <w:vAlign w:val="center"/>
          </w:tcPr>
          <w:p w14:paraId="53DA64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采购标的</w:t>
            </w:r>
          </w:p>
        </w:tc>
        <w:tc>
          <w:tcPr>
            <w:tcW w:w="1146" w:type="dxa"/>
            <w:shd w:val="clear" w:color="auto" w:fill="auto"/>
            <w:vAlign w:val="center"/>
          </w:tcPr>
          <w:p w14:paraId="597FFD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数量</w:t>
            </w:r>
          </w:p>
        </w:tc>
        <w:tc>
          <w:tcPr>
            <w:tcW w:w="1740" w:type="dxa"/>
            <w:shd w:val="clear" w:color="auto" w:fill="auto"/>
            <w:vAlign w:val="center"/>
          </w:tcPr>
          <w:p w14:paraId="2B2304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合同包预算（元）</w:t>
            </w:r>
          </w:p>
        </w:tc>
        <w:tc>
          <w:tcPr>
            <w:tcW w:w="1648" w:type="dxa"/>
            <w:shd w:val="clear" w:color="auto" w:fill="auto"/>
            <w:vAlign w:val="center"/>
          </w:tcPr>
          <w:p w14:paraId="276F4E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服务地点</w:t>
            </w:r>
          </w:p>
        </w:tc>
      </w:tr>
      <w:tr w14:paraId="6B40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5" w:hRule="atLeast"/>
          <w:jc w:val="center"/>
        </w:trPr>
        <w:tc>
          <w:tcPr>
            <w:tcW w:w="1146" w:type="dxa"/>
            <w:shd w:val="clear" w:color="auto" w:fill="auto"/>
            <w:vAlign w:val="center"/>
          </w:tcPr>
          <w:p w14:paraId="1FB11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w:t>
            </w:r>
          </w:p>
        </w:tc>
        <w:tc>
          <w:tcPr>
            <w:tcW w:w="1169" w:type="dxa"/>
            <w:shd w:val="clear" w:color="auto" w:fill="auto"/>
            <w:vAlign w:val="center"/>
          </w:tcPr>
          <w:p w14:paraId="1A0E23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0" w:type="auto"/>
            <w:shd w:val="clear" w:color="auto" w:fill="auto"/>
            <w:noWrap/>
            <w:vAlign w:val="center"/>
          </w:tcPr>
          <w:p w14:paraId="07C4E09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方正仿宋_GB2312" w:hAnsi="方正仿宋_GB2312" w:eastAsia="方正仿宋_GB2312" w:cs="方正仿宋_GB2312"/>
                <w:i w:val="0"/>
                <w:iCs w:val="0"/>
                <w:color w:val="auto"/>
                <w:sz w:val="28"/>
                <w:szCs w:val="28"/>
                <w:highlight w:val="none"/>
                <w:u w:val="none"/>
                <w:lang w:val="en-US" w:eastAsia="zh-CN"/>
              </w:rPr>
            </w:pPr>
            <w:r>
              <w:rPr>
                <w:rFonts w:hint="eastAsia" w:ascii="方正仿宋_GB2312" w:hAnsi="方正仿宋_GB2312" w:eastAsia="方正仿宋_GB2312" w:cs="方正仿宋_GB2312"/>
                <w:i w:val="0"/>
                <w:iCs w:val="0"/>
                <w:color w:val="auto"/>
                <w:sz w:val="28"/>
                <w:szCs w:val="28"/>
                <w:highlight w:val="none"/>
                <w:u w:val="none"/>
                <w:lang w:val="en-US" w:eastAsia="zh-CN"/>
              </w:rPr>
              <w:t>卡巴斯基软件服务</w:t>
            </w:r>
          </w:p>
        </w:tc>
        <w:tc>
          <w:tcPr>
            <w:tcW w:w="1146" w:type="dxa"/>
            <w:shd w:val="clear" w:color="auto" w:fill="auto"/>
            <w:vAlign w:val="center"/>
          </w:tcPr>
          <w:p w14:paraId="61A98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3年</w:t>
            </w:r>
          </w:p>
        </w:tc>
        <w:tc>
          <w:tcPr>
            <w:tcW w:w="1740" w:type="dxa"/>
            <w:shd w:val="clear" w:color="auto" w:fill="auto"/>
            <w:vAlign w:val="center"/>
          </w:tcPr>
          <w:p w14:paraId="6518CB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90000.00</w:t>
            </w:r>
          </w:p>
        </w:tc>
        <w:tc>
          <w:tcPr>
            <w:tcW w:w="1648" w:type="dxa"/>
            <w:shd w:val="clear" w:color="auto" w:fill="auto"/>
            <w:vAlign w:val="center"/>
          </w:tcPr>
          <w:p w14:paraId="1A1824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仿宋_GB2312" w:hAnsi="方正仿宋_GB2312" w:eastAsia="方正仿宋_GB2312" w:cs="方正仿宋_GB2312"/>
                <w:i w:val="0"/>
                <w:iCs w:val="0"/>
                <w:color w:val="auto"/>
                <w:sz w:val="28"/>
                <w:szCs w:val="28"/>
                <w:highlight w:val="none"/>
                <w:u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福建省级机关医院</w:t>
            </w:r>
          </w:p>
        </w:tc>
      </w:tr>
    </w:tbl>
    <w:p w14:paraId="374A521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注：（1）本项目预算价人民币90000.00元为最高限价。供应商报价超过各单价限价和最高限价的为无效报价。供应商可依据市场行情和自身情况，自由竞价。</w:t>
      </w:r>
      <w:r>
        <w:rPr>
          <w:rFonts w:hint="eastAsia" w:ascii="方正仿宋_GB2312" w:hAnsi="方正仿宋_GB2312" w:eastAsia="方正仿宋_GB2312" w:cs="方正仿宋_GB2312"/>
          <w:sz w:val="28"/>
          <w:szCs w:val="28"/>
        </w:rPr>
        <w:t>本项目所发生的一切费用（如货物及运输、安装、调试、检验、质保、培训、与医院</w:t>
      </w:r>
      <w:r>
        <w:rPr>
          <w:rFonts w:hint="eastAsia" w:ascii="方正仿宋_GB2312" w:hAnsi="方正仿宋_GB2312" w:eastAsia="方正仿宋_GB2312" w:cs="方正仿宋_GB2312"/>
          <w:sz w:val="28"/>
          <w:szCs w:val="28"/>
          <w:lang w:val="en-US" w:eastAsia="zh-CN"/>
        </w:rPr>
        <w:t>各信息</w:t>
      </w:r>
      <w:r>
        <w:rPr>
          <w:rFonts w:hint="eastAsia" w:ascii="方正仿宋_GB2312" w:hAnsi="方正仿宋_GB2312" w:eastAsia="方正仿宋_GB2312" w:cs="方正仿宋_GB2312"/>
          <w:sz w:val="28"/>
          <w:szCs w:val="28"/>
        </w:rPr>
        <w:t>系统的接口费等所有其他有关各项的含税费用）均包含在报价中。</w:t>
      </w:r>
    </w:p>
    <w:p w14:paraId="1EDE36F7">
      <w:pPr>
        <w:keepNext w:val="0"/>
        <w:keepLines w:val="0"/>
        <w:pageBreakBefore w:val="0"/>
        <w:numPr>
          <w:ilvl w:val="0"/>
          <w:numId w:val="1"/>
        </w:numPr>
        <w:kinsoku/>
        <w:wordWrap/>
        <w:overflowPunct/>
        <w:topLinePunct w:val="0"/>
        <w:autoSpaceDE/>
        <w:autoSpaceDN/>
        <w:bidi w:val="0"/>
        <w:adjustRightInd/>
        <w:snapToGrid/>
        <w:spacing w:line="360" w:lineRule="exact"/>
        <w:ind w:firstLine="560" w:firstLineChars="200"/>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成交人安装结束后应在规定的交付使用时间之前将废物移离现场，清理妥当，费用由成交人负责。</w:t>
      </w:r>
    </w:p>
    <w:p w14:paraId="00DA17B7">
      <w:pPr>
        <w:pStyle w:val="9"/>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本项目</w:t>
      </w:r>
      <w:r>
        <w:rPr>
          <w:rFonts w:hint="eastAsia" w:ascii="方正仿宋_GB2312" w:hAnsi="方正仿宋_GB2312" w:eastAsia="方正仿宋_GB2312" w:cs="方正仿宋_GB2312"/>
          <w:color w:val="auto"/>
          <w:sz w:val="28"/>
          <w:szCs w:val="28"/>
          <w:highlight w:val="none"/>
          <w:lang w:val="en-US" w:eastAsia="zh-CN"/>
        </w:rPr>
        <w:t>采用最低评标价法。</w:t>
      </w:r>
    </w:p>
    <w:p w14:paraId="55AAE67D">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562" w:firstLineChars="200"/>
        <w:rPr>
          <w:rFonts w:hint="eastAsia" w:ascii="方正仿宋_GB2312" w:hAnsi="方正仿宋_GB2312" w:eastAsia="方正仿宋_GB2312" w:cs="方正仿宋_GB2312"/>
          <w:kern w:val="2"/>
          <w:sz w:val="28"/>
          <w:szCs w:val="28"/>
          <w:lang w:val="en-US" w:eastAsia="zh-CN" w:bidi="ar-SA"/>
        </w:rPr>
      </w:pPr>
      <w:r>
        <w:rPr>
          <w:rStyle w:val="14"/>
          <w:rFonts w:hint="eastAsia" w:ascii="方正仿宋_GB2312" w:hAnsi="方正仿宋_GB2312" w:eastAsia="方正仿宋_GB2312" w:cs="方正仿宋_GB2312"/>
          <w:b/>
          <w:bCs w:val="0"/>
          <w:color w:val="auto"/>
          <w:sz w:val="28"/>
          <w:szCs w:val="28"/>
          <w:highlight w:val="none"/>
        </w:rPr>
        <w:t>二、</w:t>
      </w:r>
      <w:r>
        <w:rPr>
          <w:rStyle w:val="14"/>
          <w:rFonts w:hint="eastAsia" w:ascii="方正仿宋_GB2312" w:hAnsi="方正仿宋_GB2312" w:eastAsia="方正仿宋_GB2312" w:cs="方正仿宋_GB2312"/>
          <w:b/>
          <w:bCs w:val="0"/>
          <w:color w:val="auto"/>
          <w:sz w:val="28"/>
          <w:szCs w:val="28"/>
          <w:highlight w:val="none"/>
          <w:lang w:val="en-US" w:eastAsia="zh-CN"/>
        </w:rPr>
        <w:t>服务</w:t>
      </w:r>
      <w:r>
        <w:rPr>
          <w:rStyle w:val="14"/>
          <w:rFonts w:hint="eastAsia" w:ascii="方正仿宋_GB2312" w:hAnsi="方正仿宋_GB2312" w:eastAsia="方正仿宋_GB2312" w:cs="方正仿宋_GB2312"/>
          <w:b/>
          <w:bCs w:val="0"/>
          <w:color w:val="auto"/>
          <w:sz w:val="28"/>
          <w:szCs w:val="28"/>
          <w:highlight w:val="none"/>
        </w:rPr>
        <w:t>内容及</w:t>
      </w:r>
      <w:r>
        <w:rPr>
          <w:rStyle w:val="14"/>
          <w:rFonts w:hint="eastAsia" w:ascii="方正仿宋_GB2312" w:hAnsi="方正仿宋_GB2312" w:eastAsia="方正仿宋_GB2312" w:cs="方正仿宋_GB2312"/>
          <w:b/>
          <w:bCs w:val="0"/>
          <w:color w:val="auto"/>
          <w:sz w:val="28"/>
          <w:szCs w:val="28"/>
          <w:highlight w:val="none"/>
          <w:lang w:eastAsia="zh-CN"/>
        </w:rPr>
        <w:t>技术参数</w:t>
      </w:r>
      <w:r>
        <w:rPr>
          <w:rStyle w:val="14"/>
          <w:rFonts w:hint="eastAsia" w:ascii="方正仿宋_GB2312" w:hAnsi="方正仿宋_GB2312" w:eastAsia="方正仿宋_GB2312" w:cs="方正仿宋_GB2312"/>
          <w:b/>
          <w:bCs w:val="0"/>
          <w:color w:val="auto"/>
          <w:sz w:val="28"/>
          <w:szCs w:val="28"/>
          <w:highlight w:val="none"/>
        </w:rPr>
        <w:t>要求</w:t>
      </w:r>
      <w:r>
        <w:rPr>
          <w:rStyle w:val="14"/>
          <w:rFonts w:hint="eastAsia" w:ascii="方正仿宋_GB2312" w:hAnsi="方正仿宋_GB2312" w:eastAsia="方正仿宋_GB2312" w:cs="方正仿宋_GB2312"/>
          <w:b w:val="0"/>
          <w:bCs/>
          <w:color w:val="auto"/>
          <w:sz w:val="28"/>
          <w:szCs w:val="28"/>
          <w:highlight w:val="none"/>
        </w:rPr>
        <w:t>（以下内容均为实质性内容，供应商</w:t>
      </w:r>
      <w:r>
        <w:rPr>
          <w:rFonts w:hint="eastAsia" w:ascii="方正仿宋_GB2312" w:hAnsi="方正仿宋_GB2312" w:eastAsia="方正仿宋_GB2312" w:cs="方正仿宋_GB2312"/>
          <w:kern w:val="2"/>
          <w:sz w:val="28"/>
          <w:szCs w:val="28"/>
          <w:lang w:val="en-US" w:eastAsia="zh-CN" w:bidi="ar-SA"/>
        </w:rPr>
        <w:t>须完全响应，否则视为无效响应）</w:t>
      </w:r>
    </w:p>
    <w:p w14:paraId="7AB21AF8">
      <w:pPr>
        <w:keepNext w:val="0"/>
        <w:keepLines w:val="0"/>
        <w:pageBreakBefore w:val="0"/>
        <w:kinsoku/>
        <w:wordWrap/>
        <w:overflowPunct/>
        <w:topLinePunct w:val="0"/>
        <w:autoSpaceDE/>
        <w:autoSpaceDN/>
        <w:bidi w:val="0"/>
        <w:adjustRightInd/>
        <w:spacing w:line="360" w:lineRule="exact"/>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（一）技术条件</w:t>
      </w:r>
    </w:p>
    <w:p w14:paraId="0A1464BE">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1、授权服务配置要求:</w:t>
      </w:r>
    </w:p>
    <w:p w14:paraId="30D4EC89">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1.1、卡巴斯基管理中心≥1个；</w:t>
      </w:r>
    </w:p>
    <w:p w14:paraId="1C920404">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1.2、服务器客户端+客户端≥350个；</w:t>
      </w:r>
    </w:p>
    <w:p w14:paraId="03587D64">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1.3、要求管理中心安装授权无限制；</w:t>
      </w:r>
    </w:p>
    <w:p w14:paraId="1D91FD83">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1.4、要求支持对所有不同系统平台客户端进行统一管理；</w:t>
      </w:r>
    </w:p>
    <w:p w14:paraId="1B50ACA3">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1.5、授权≥3年有效期，免费反病毒库及版本升级；</w:t>
      </w:r>
    </w:p>
    <w:p w14:paraId="5BEF01AF">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2、操作系统兼容性</w:t>
      </w:r>
    </w:p>
    <w:p w14:paraId="377006CD">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2.1、支持Linux操作系统（Redhat 7及以上版本）</w:t>
      </w:r>
    </w:p>
    <w:p w14:paraId="40041C7C">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2.2、支持Windows 7 SP1 及以上操作系统</w:t>
      </w:r>
    </w:p>
    <w:p w14:paraId="453146D2">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2.3、支持Windows2 Web Server 2008 R2 Service Pack 1及以上操作系统</w:t>
      </w:r>
    </w:p>
    <w:p w14:paraId="4E66EB7F">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3、支持对现有网络中安全产品的正确识别能力，并且可以通过产品部署安装包进行对全网现有反病毒软件进行统一自动卸载操作。</w:t>
      </w:r>
    </w:p>
    <w:p w14:paraId="0359393D">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4、支持多种安装方式，如下载安装、远程安装、共享安装、Web安装、脚本登录安装和域组策略安装，支持通过管理控制台方式进行远程安装，支持通过 Web 方式进行远程安装。</w:t>
      </w:r>
    </w:p>
    <w:p w14:paraId="42AC880E">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5、安装包自定义：反病毒客户端与网络代理客户端相互独立，可以通过管理中心打包后下发安装，或独立安装。</w:t>
      </w:r>
    </w:p>
    <w:p w14:paraId="1C40BB92">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6、卸载：卡巴斯基端点安全在卸载时，正常卸载会清理安装路径下文件并删除注册表信息；若终端卸载出现异常，可以通过一键卸载工具，清理卡巴斯基残留文件。</w:t>
      </w:r>
    </w:p>
    <w:p w14:paraId="5D7044D8">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8、本项目集成功能包括但不限于病毒监控、防火墙、邮件反病毒、主动防御、入侵检测系统、网页反病毒、应用程序控制、设备控制、网页控制、漏洞检测和网络流量监控。</w:t>
      </w:r>
    </w:p>
    <w:p w14:paraId="7723B765">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9、行为检测：收集采购人计算机上应用程序操作行为，并对这些行为进行检测及监控。</w:t>
      </w:r>
    </w:p>
    <w:p w14:paraId="2EB58569">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10、漏洞入侵防护：跟踪易受攻击的应用程序或者系统漏洞。当攻击者试图通过非采购人启动应用程序时，卡巴斯基终端会阻止文件的运行。</w:t>
      </w:r>
    </w:p>
    <w:p w14:paraId="169E0318">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11、主机入侵防护(HIPS)：主机入侵防护功能可以阳止应用程序执行可能对操作系统有害的操作,并控制对操作系统资源及个人数据的访问。</w:t>
      </w:r>
    </w:p>
    <w:p w14:paraId="0186974F">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12、修复引擎：</w:t>
      </w:r>
    </w:p>
    <w:p w14:paraId="626E0C88">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12.1、支持通过回滚恶意软件在操作系统中执行的操作(包括文件、注册表、系统和网络) 以保障采购人数据。</w:t>
      </w:r>
    </w:p>
    <w:p w14:paraId="23846B1A">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12.2、回滚操作应对操作系统或计算机数据的完整性没有不利影响。</w:t>
      </w:r>
    </w:p>
    <w:p w14:paraId="78D32EFA">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13、文件威胁防护：卡巴斯基终端借助应用程序的反病毒数据库来实时检测并清除设备上的威胁。</w:t>
      </w:r>
    </w:p>
    <w:p w14:paraId="44C52765">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14、邮件威胁防护：卡巴斯基终端通过扫描传入和传出的电子邮件以查找威胁。跟随应用程序启动,驻留在设备RAM中,并对通过 POP3、SMTP、IMAP和NNTP 协议收发的所有邮件进行扫描。</w:t>
      </w:r>
    </w:p>
    <w:p w14:paraId="6E7BAB3D">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15、Web 威胁防护：卡巴斯基终端通过 HTTP、HTTPS和 TP 协议传入和传出设备的数据提供保,并防止危险脚本在采购人设备上运行。</w:t>
      </w:r>
    </w:p>
    <w:p w14:paraId="28DCFC02">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16、防火墙：当浏览互联网或使用本地网络时,防火墙会保护采购人每个终端设备免受网络威胁。通过阻止与计算机的未经授权的网络连接,从而降低感染病毒风险。防火墙通过监控设备上应用程序的网络活动,从而降低恶意软件在网络中传播的风险。</w:t>
      </w:r>
    </w:p>
    <w:p w14:paraId="7DF8ADB0">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17、网络威胁防护：支持扫描查找典型的网络攻击活动，例如检测到设备可能遭受网络攻击时,能够阳止来自攻击计算机的网络活动。</w:t>
      </w:r>
    </w:p>
    <w:p w14:paraId="1782F2E1">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18、BadUSB 攻击防御：可防止模拟键盘的受感染 USB 设备连接到计算机。</w:t>
      </w:r>
    </w:p>
    <w:p w14:paraId="5AC00765">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19、AMSI防护：支持Powershell、WMI、无文件攻击防护。</w:t>
      </w:r>
    </w:p>
    <w:p w14:paraId="2F4F9063">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20、根本原因分析的警报卡：</w:t>
      </w:r>
    </w:p>
    <w:p w14:paraId="7602AADC">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20.1、提供警报卡概览、在端点上检测到恶意/可疑活动后，每个新检测都会被打开并填充自动生成的信息。</w:t>
      </w:r>
    </w:p>
    <w:p w14:paraId="493B515D">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20.2、警报卡由管理控制台生成，其中包括细分功能以及有关流程的其他信息，且所有收集到的警报相关数据可以按组（进程、注册表、连接等）或按列表进行排序。</w:t>
      </w:r>
    </w:p>
    <w:p w14:paraId="3B050CA5">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21、应用程序控制：支持管理用户计算机上应用程序的启动,并通过限制对应用程序的访问来降低计算机感染的风险。支持在使用应用程序时执行企业安全策略。</w:t>
      </w:r>
    </w:p>
    <w:p w14:paraId="6BE44DDF">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22、Web 控制：允许根据网站的内容或地址以限制采购人访问互联网。网页URL 黑名单限制采购人访问可能有害或不良网站。白名单只允许访问安全的互联网资源。</w:t>
      </w:r>
    </w:p>
    <w:p w14:paraId="4FD06CD1">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23、设备控制：可控制采购人对连接到计算机的外部和可移动设备的权限。管理员可以按类型允许或禁止某些设备的使用,或创建“受信任”列表。</w:t>
      </w:r>
    </w:p>
    <w:p w14:paraId="5DE49AF6">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24、支持移动操作系统能够实时监控和清除来自各种途径的病毒、木马等恶意程序。</w:t>
      </w:r>
    </w:p>
    <w:p w14:paraId="00311F70">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25、远程故障排除：</w:t>
      </w:r>
    </w:p>
    <w:p w14:paraId="0751939F">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25.1、支持对采购人计算机的安全远程连接。</w:t>
      </w:r>
    </w:p>
    <w:p w14:paraId="2F3C4C9B">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25.2、授权机制可防止未经授权的远程访问，且远程访问会话期间执行的全部活动均记录在日志中。</w:t>
      </w:r>
    </w:p>
    <w:p w14:paraId="4F5A1547">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25.3、提供远程诊断实用程序，用于对受管理设备上的卡巴斯基安全应用程序进行故障排除。</w:t>
      </w:r>
    </w:p>
    <w:p w14:paraId="7ABE18EF">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26、软硬件清单：支持自动发现和软硬件跟踪。</w:t>
      </w:r>
    </w:p>
    <w:p w14:paraId="76372A6F">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27、网络流量限制：可以根据不同的IP网段，限制客户端与管理中心流量大小。</w:t>
      </w:r>
    </w:p>
    <w:p w14:paraId="1F527766">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28、自动分配管理：管理中心可以根据windows设备名、域、IP网段等方式自动分组。</w:t>
      </w:r>
    </w:p>
    <w:p w14:paraId="5416E67C">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29、自我保护：支持能够阻止用户和其他应用程序试图停止KES服务。</w:t>
      </w:r>
    </w:p>
    <w:p w14:paraId="67853E57">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30、密码保护：支持密码保护，防止非管理员主动退出程序、卸载程序。</w:t>
      </w:r>
    </w:p>
    <w:p w14:paraId="32657D63">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31、管理方式：管理中心支持采用C/S或B/S两种模式对客户端进行管理。</w:t>
      </w:r>
    </w:p>
    <w:p w14:paraId="04020A1C">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32、多级管理：提供多级管理控制中心、支持对多级管理控制中心统一集中管理。</w:t>
      </w:r>
    </w:p>
    <w:p w14:paraId="756957FB">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33、消息通知：管理中心支持向卡巴斯基终端发送广播消息。</w:t>
      </w:r>
    </w:p>
    <w:p w14:paraId="593232B4">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34、恶意程序备份：管理中心可以将全网客户端设备的备份区中文件拷贝到管理中心备份，并进行统一处理</w:t>
      </w:r>
    </w:p>
    <w:p w14:paraId="66826AD7">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35、设备识别：管理中心可以识别网络中的实体机和虚拟机及其操作系统版本。</w:t>
      </w:r>
    </w:p>
    <w:p w14:paraId="68E0A257">
      <w:pPr>
        <w:keepNext w:val="0"/>
        <w:keepLines w:val="0"/>
        <w:pageBreakBefore w:val="0"/>
        <w:kinsoku/>
        <w:wordWrap/>
        <w:overflowPunct/>
        <w:topLinePunct w:val="0"/>
        <w:autoSpaceDE/>
        <w:autoSpaceDN/>
        <w:bidi w:val="0"/>
        <w:adjustRightInd/>
        <w:spacing w:line="360" w:lineRule="exact"/>
        <w:ind w:left="0" w:leftChars="0" w:firstLine="560" w:firstLineChars="200"/>
        <w:rPr>
          <w:rFonts w:hint="eastAsia" w:ascii="方正仿宋_GB2312" w:hAnsi="方正仿宋_GB2312" w:eastAsia="方正仿宋_GB2312" w:cs="方正仿宋_GB2312"/>
          <w:b w:val="0"/>
          <w:bCs w:val="0"/>
          <w:sz w:val="28"/>
          <w:szCs w:val="28"/>
          <w:lang w:val="en-US" w:eastAsia="zh-CN"/>
        </w:rPr>
      </w:pPr>
      <w:r>
        <w:rPr>
          <w:rFonts w:hint="eastAsia" w:ascii="方正仿宋_GB2312" w:hAnsi="方正仿宋_GB2312" w:eastAsia="方正仿宋_GB2312" w:cs="方正仿宋_GB2312"/>
          <w:b w:val="0"/>
          <w:bCs w:val="0"/>
          <w:sz w:val="28"/>
          <w:szCs w:val="28"/>
          <w:lang w:val="en-US" w:eastAsia="zh-CN"/>
        </w:rPr>
        <w:t>40、病毒库更新管理：支持在线实时更新或离线更新包更新。</w:t>
      </w:r>
    </w:p>
    <w:p w14:paraId="27E894F6">
      <w:pPr>
        <w:keepNext w:val="0"/>
        <w:keepLines w:val="0"/>
        <w:pageBreakBefore w:val="0"/>
        <w:kinsoku/>
        <w:wordWrap/>
        <w:overflowPunct/>
        <w:topLinePunct w:val="0"/>
        <w:autoSpaceDE/>
        <w:autoSpaceDN/>
        <w:bidi w:val="0"/>
        <w:adjustRightInd/>
        <w:spacing w:line="360" w:lineRule="exact"/>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（二）商务条件</w:t>
      </w:r>
    </w:p>
    <w:p w14:paraId="452A67FD">
      <w:pPr>
        <w:keepNext w:val="0"/>
        <w:keepLines w:val="0"/>
        <w:pageBreakBefore w:val="0"/>
        <w:kinsoku/>
        <w:wordWrap/>
        <w:overflowPunct/>
        <w:topLinePunct w:val="0"/>
        <w:autoSpaceDE/>
        <w:autoSpaceDN/>
        <w:bidi w:val="0"/>
        <w:adjustRightInd/>
        <w:snapToGrid/>
        <w:spacing w:line="360" w:lineRule="exact"/>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1、验收</w:t>
      </w:r>
    </w:p>
    <w:p w14:paraId="4AFA0504">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验收由采购人、成交供应商双方相关人员组成，验收结果由双方签字认可。</w:t>
      </w:r>
    </w:p>
    <w:p w14:paraId="3878378C">
      <w:pPr>
        <w:keepNext w:val="0"/>
        <w:keepLines w:val="0"/>
        <w:pageBreakBefore w:val="0"/>
        <w:kinsoku/>
        <w:wordWrap/>
        <w:overflowPunct/>
        <w:topLinePunct w:val="0"/>
        <w:autoSpaceDE/>
        <w:autoSpaceDN/>
        <w:bidi w:val="0"/>
        <w:adjustRightInd/>
        <w:snapToGrid/>
        <w:spacing w:line="360" w:lineRule="exact"/>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2、是否收取履约保证金：否</w:t>
      </w:r>
    </w:p>
    <w:p w14:paraId="3F06253C">
      <w:pPr>
        <w:keepNext w:val="0"/>
        <w:keepLines w:val="0"/>
        <w:pageBreakBefore w:val="0"/>
        <w:numPr>
          <w:ilvl w:val="0"/>
          <w:numId w:val="3"/>
        </w:numPr>
        <w:kinsoku/>
        <w:wordWrap/>
        <w:overflowPunct/>
        <w:topLinePunct w:val="0"/>
        <w:autoSpaceDE/>
        <w:autoSpaceDN/>
        <w:bidi w:val="0"/>
        <w:adjustRightInd/>
        <w:snapToGrid/>
        <w:spacing w:line="360" w:lineRule="exact"/>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付款方式</w:t>
      </w:r>
    </w:p>
    <w:p w14:paraId="46590639">
      <w:pPr>
        <w:pStyle w:val="28"/>
        <w:keepNext w:val="0"/>
        <w:keepLines w:val="0"/>
        <w:pageBreakBefore w:val="0"/>
        <w:widowControl w:val="0"/>
        <w:kinsoku/>
        <w:wordWrap/>
        <w:overflowPunct/>
        <w:topLinePunct w:val="0"/>
        <w:autoSpaceDE/>
        <w:autoSpaceDN/>
        <w:bidi w:val="0"/>
        <w:adjustRightInd/>
        <w:snapToGrid w:val="0"/>
        <w:spacing w:line="360" w:lineRule="exact"/>
        <w:ind w:firstLine="560" w:firstLineChars="200"/>
        <w:jc w:val="left"/>
        <w:textAlignment w:val="auto"/>
        <w:outlineLvl w:val="1"/>
        <w:rPr>
          <w:rFonts w:hint="eastAsia" w:ascii="方正仿宋_GB2312" w:hAnsi="方正仿宋_GB2312" w:eastAsia="方正仿宋_GB2312" w:cs="方正仿宋_GB2312"/>
          <w:b w:val="0"/>
          <w:bCs/>
          <w:sz w:val="28"/>
          <w:szCs w:val="28"/>
          <w:highlight w:val="none"/>
          <w:lang w:val="en-US" w:eastAsia="zh-CN"/>
        </w:rPr>
      </w:pPr>
      <w:r>
        <w:rPr>
          <w:rFonts w:hint="eastAsia" w:ascii="方正仿宋_GB2312" w:hAnsi="方正仿宋_GB2312" w:eastAsia="方正仿宋_GB2312" w:cs="方正仿宋_GB2312"/>
          <w:b w:val="0"/>
          <w:bCs/>
          <w:sz w:val="28"/>
          <w:szCs w:val="28"/>
          <w:highlight w:val="none"/>
          <w:lang w:val="en-US" w:eastAsia="zh-CN"/>
        </w:rPr>
        <w:t>本项目为分三个阶段付款，第一阶段为服务期满12个月，采购人验收合格且收到成交供应商开具的正式等额发票后，10个工作日内向成交供应商支付合同总金额的30%；第二阶段为服务期满24个月，采购人验收合格且收到成交供应商开具的正式等额发票后，10个工作日内向成交供应商支付合同总金额的30%；第三阶段为服务期满后，采购人验收合格且收到成交供应商开具的正式等额发票后，10个工作日内向成交供应商支付合同总金额的40%。</w:t>
      </w:r>
    </w:p>
    <w:p w14:paraId="36427F25">
      <w:pPr>
        <w:keepNext w:val="0"/>
        <w:keepLines w:val="0"/>
        <w:pageBreakBefore w:val="0"/>
        <w:kinsoku/>
        <w:wordWrap/>
        <w:overflowPunct/>
        <w:topLinePunct w:val="0"/>
        <w:autoSpaceDE/>
        <w:autoSpaceDN/>
        <w:bidi w:val="0"/>
        <w:adjustRightInd/>
        <w:snapToGrid/>
        <w:spacing w:line="360" w:lineRule="exact"/>
        <w:textAlignment w:val="auto"/>
        <w:rPr>
          <w:rStyle w:val="14"/>
          <w:rFonts w:hint="eastAsia" w:ascii="方正仿宋_GB2312" w:hAnsi="方正仿宋_GB2312" w:eastAsia="方正仿宋_GB2312" w:cs="方正仿宋_GB2312"/>
          <w:b/>
          <w:bCs/>
          <w:kern w:val="0"/>
          <w:sz w:val="28"/>
          <w:szCs w:val="28"/>
          <w:lang w:val="en-US" w:eastAsia="zh-CN" w:bidi="ar"/>
        </w:rPr>
      </w:pPr>
      <w:r>
        <w:rPr>
          <w:rStyle w:val="14"/>
          <w:rFonts w:hint="eastAsia" w:ascii="方正仿宋_GB2312" w:hAnsi="方正仿宋_GB2312" w:eastAsia="方正仿宋_GB2312" w:cs="方正仿宋_GB2312"/>
          <w:b/>
          <w:bCs/>
          <w:kern w:val="0"/>
          <w:sz w:val="28"/>
          <w:szCs w:val="28"/>
          <w:lang w:val="en-US" w:eastAsia="zh-CN" w:bidi="ar"/>
        </w:rPr>
        <w:t>4、售后服务</w:t>
      </w:r>
    </w:p>
    <w:p w14:paraId="4F3A901D">
      <w:pPr>
        <w:keepNext w:val="0"/>
        <w:keepLines w:val="0"/>
        <w:pageBreakBefore w:val="0"/>
        <w:kinsoku/>
        <w:wordWrap/>
        <w:overflowPunct/>
        <w:topLinePunct w:val="0"/>
        <w:autoSpaceDE/>
        <w:autoSpaceDN/>
        <w:bidi w:val="0"/>
        <w:adjustRightInd/>
        <w:snapToGrid/>
        <w:spacing w:line="36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4.1、电话支持：提供7×24小时热线和技术支持服务，以便采购人及时反映现场使用情况和售后服务质量问题。</w:t>
      </w:r>
    </w:p>
    <w:p w14:paraId="759295B7">
      <w:pPr>
        <w:keepNext w:val="0"/>
        <w:keepLines w:val="0"/>
        <w:pageBreakBefore w:val="0"/>
        <w:kinsoku/>
        <w:wordWrap/>
        <w:overflowPunct/>
        <w:topLinePunct w:val="0"/>
        <w:autoSpaceDE/>
        <w:autoSpaceDN/>
        <w:bidi w:val="0"/>
        <w:adjustRightInd/>
        <w:snapToGrid/>
        <w:spacing w:line="36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4.2、远程连接服务：技术支持人员在客户授权后，通过网络远程进行技术服务，即时解决问题。</w:t>
      </w:r>
    </w:p>
    <w:p w14:paraId="4DD3F33D">
      <w:pPr>
        <w:keepNext w:val="0"/>
        <w:keepLines w:val="0"/>
        <w:pageBreakBefore w:val="0"/>
        <w:kinsoku/>
        <w:wordWrap/>
        <w:overflowPunct/>
        <w:topLinePunct w:val="0"/>
        <w:autoSpaceDE/>
        <w:autoSpaceDN/>
        <w:bidi w:val="0"/>
        <w:adjustRightInd/>
        <w:snapToGrid/>
        <w:spacing w:line="36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4.3、现场服务：在上面两种方式不能解决问题的情况下，安排技术人员4小时内上门服务。</w:t>
      </w:r>
    </w:p>
    <w:p w14:paraId="556B536E">
      <w:pPr>
        <w:keepNext w:val="0"/>
        <w:keepLines w:val="0"/>
        <w:pageBreakBefore w:val="0"/>
        <w:kinsoku/>
        <w:wordWrap/>
        <w:overflowPunct/>
        <w:topLinePunct w:val="0"/>
        <w:autoSpaceDE/>
        <w:autoSpaceDN/>
        <w:bidi w:val="0"/>
        <w:adjustRightInd/>
        <w:snapToGrid/>
        <w:spacing w:line="36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4.4、定期回访：每季度定期回访，随时监测系统运行状况，一方面预防故障的发生，另一方面对发生的各种问题及时做出响应。</w:t>
      </w:r>
    </w:p>
    <w:p w14:paraId="32FDB865">
      <w:pPr>
        <w:keepNext w:val="0"/>
        <w:keepLines w:val="0"/>
        <w:pageBreakBefore w:val="0"/>
        <w:kinsoku/>
        <w:wordWrap/>
        <w:overflowPunct/>
        <w:topLinePunct w:val="0"/>
        <w:autoSpaceDE/>
        <w:autoSpaceDN/>
        <w:bidi w:val="0"/>
        <w:adjustRightInd/>
        <w:snapToGrid/>
        <w:spacing w:line="360" w:lineRule="exact"/>
        <w:ind w:left="0" w:leftChars="0" w:firstLine="560" w:firstLineChars="200"/>
        <w:textAlignment w:val="auto"/>
        <w:rPr>
          <w:rStyle w:val="14"/>
          <w:rFonts w:hint="eastAsia" w:ascii="方正仿宋_GB2312" w:hAnsi="方正仿宋_GB2312" w:eastAsia="方正仿宋_GB2312" w:cs="方正仿宋_GB2312"/>
          <w:b w:val="0"/>
          <w:bCs w:val="0"/>
          <w:kern w:val="0"/>
          <w:sz w:val="28"/>
          <w:szCs w:val="28"/>
          <w:lang w:val="en-US" w:eastAsia="zh-CN" w:bidi="ar"/>
        </w:rPr>
      </w:pPr>
      <w:r>
        <w:rPr>
          <w:rStyle w:val="14"/>
          <w:rFonts w:hint="eastAsia" w:ascii="方正仿宋_GB2312" w:hAnsi="方正仿宋_GB2312" w:eastAsia="方正仿宋_GB2312" w:cs="方正仿宋_GB2312"/>
          <w:b w:val="0"/>
          <w:bCs w:val="0"/>
          <w:kern w:val="0"/>
          <w:sz w:val="28"/>
          <w:szCs w:val="28"/>
          <w:lang w:val="en-US" w:eastAsia="zh-CN" w:bidi="ar"/>
        </w:rPr>
        <w:t>4.5、结合采购人实际情况，拟定详细的系统实施计划。承诺保证在合同服务期内系统基本运行平稳。</w:t>
      </w:r>
    </w:p>
    <w:p w14:paraId="75D3923A">
      <w:pPr>
        <w:keepNext w:val="0"/>
        <w:keepLines w:val="0"/>
        <w:pageBreakBefore w:val="0"/>
        <w:kinsoku/>
        <w:wordWrap/>
        <w:overflowPunct/>
        <w:topLinePunct w:val="0"/>
        <w:autoSpaceDE/>
        <w:autoSpaceDN/>
        <w:bidi w:val="0"/>
        <w:adjustRightInd/>
        <w:snapToGrid/>
        <w:spacing w:line="360" w:lineRule="exact"/>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Style w:val="14"/>
          <w:rFonts w:hint="eastAsia" w:ascii="方正仿宋_GB2312" w:hAnsi="方正仿宋_GB2312" w:eastAsia="方正仿宋_GB2312" w:cs="方正仿宋_GB2312"/>
          <w:b/>
          <w:bCs/>
          <w:kern w:val="0"/>
          <w:sz w:val="28"/>
          <w:szCs w:val="28"/>
          <w:lang w:val="en-US" w:eastAsia="zh-CN" w:bidi="ar"/>
        </w:rPr>
        <w:t>5、违约责任</w:t>
      </w:r>
    </w:p>
    <w:p w14:paraId="61AA98B5">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5.1、在签定采购合同之后，</w:t>
      </w:r>
      <w:r>
        <w:rPr>
          <w:rStyle w:val="14"/>
          <w:rFonts w:hint="eastAsia" w:ascii="方正仿宋_GB2312" w:hAnsi="方正仿宋_GB2312" w:eastAsia="方正仿宋_GB2312" w:cs="方正仿宋_GB2312"/>
          <w:b w:val="0"/>
          <w:bCs w:val="0"/>
          <w:kern w:val="0"/>
          <w:sz w:val="28"/>
          <w:szCs w:val="28"/>
          <w:lang w:val="en-US" w:eastAsia="zh-CN" w:bidi="ar"/>
        </w:rPr>
        <w:t>成交供应商</w:t>
      </w:r>
      <w:r>
        <w:rPr>
          <w:rFonts w:hint="eastAsia" w:ascii="方正仿宋_GB2312" w:hAnsi="方正仿宋_GB2312" w:eastAsia="方正仿宋_GB2312" w:cs="方正仿宋_GB2312"/>
          <w:b w:val="0"/>
          <w:bCs w:val="0"/>
          <w:kern w:val="2"/>
          <w:sz w:val="28"/>
          <w:szCs w:val="28"/>
          <w:highlight w:val="none"/>
          <w:lang w:val="en-US" w:eastAsia="zh-CN" w:bidi="ar-SA"/>
        </w:rPr>
        <w:t>提供的服务实际情况与响应文件响应不符，或未按合同规定的质量提供服务的，视为不合格，采购人有权拒收并解除合同，</w:t>
      </w:r>
      <w:r>
        <w:rPr>
          <w:rStyle w:val="14"/>
          <w:rFonts w:hint="eastAsia" w:ascii="方正仿宋_GB2312" w:hAnsi="方正仿宋_GB2312" w:eastAsia="方正仿宋_GB2312" w:cs="方正仿宋_GB2312"/>
          <w:b w:val="0"/>
          <w:bCs w:val="0"/>
          <w:kern w:val="0"/>
          <w:sz w:val="28"/>
          <w:szCs w:val="28"/>
          <w:lang w:val="en-US" w:eastAsia="zh-CN" w:bidi="ar"/>
        </w:rPr>
        <w:t>成交供应商</w:t>
      </w:r>
      <w:r>
        <w:rPr>
          <w:rFonts w:hint="eastAsia" w:ascii="方正仿宋_GB2312" w:hAnsi="方正仿宋_GB2312" w:eastAsia="方正仿宋_GB2312" w:cs="方正仿宋_GB2312"/>
          <w:b w:val="0"/>
          <w:bCs w:val="0"/>
          <w:kern w:val="2"/>
          <w:sz w:val="28"/>
          <w:szCs w:val="28"/>
          <w:highlight w:val="none"/>
          <w:lang w:val="en-US" w:eastAsia="zh-CN" w:bidi="ar-SA"/>
        </w:rPr>
        <w:t>向采购人支付合同总金额30%的违约金，由此造成的直接损失和间接损失还应由</w:t>
      </w:r>
      <w:r>
        <w:rPr>
          <w:rStyle w:val="14"/>
          <w:rFonts w:hint="eastAsia" w:ascii="方正仿宋_GB2312" w:hAnsi="方正仿宋_GB2312" w:eastAsia="方正仿宋_GB2312" w:cs="方正仿宋_GB2312"/>
          <w:b w:val="0"/>
          <w:bCs w:val="0"/>
          <w:kern w:val="0"/>
          <w:sz w:val="28"/>
          <w:szCs w:val="28"/>
          <w:lang w:val="en-US" w:eastAsia="zh-CN" w:bidi="ar"/>
        </w:rPr>
        <w:t>成交供应商</w:t>
      </w:r>
      <w:r>
        <w:rPr>
          <w:rFonts w:hint="eastAsia" w:ascii="方正仿宋_GB2312" w:hAnsi="方正仿宋_GB2312" w:eastAsia="方正仿宋_GB2312" w:cs="方正仿宋_GB2312"/>
          <w:b w:val="0"/>
          <w:bCs w:val="0"/>
          <w:kern w:val="2"/>
          <w:sz w:val="28"/>
          <w:szCs w:val="28"/>
          <w:highlight w:val="none"/>
          <w:lang w:val="en-US" w:eastAsia="zh-CN" w:bidi="ar-SA"/>
        </w:rPr>
        <w:t>赔偿。</w:t>
      </w:r>
    </w:p>
    <w:p w14:paraId="5A521CA6">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5.2、成交供应商逾期交货的（不可抗力除外），每逾期一天，偿付200元违约金；若成交供应商逾期达30天（含）以上的，采购人有权单方面解除合同并要求成交供应商支付合同总金额30%的违约金，成交供应商仍应按上述约定支付延期交货违约金。若因此给采购人造成损失的，还应赔偿采购人所受的损失。</w:t>
      </w:r>
    </w:p>
    <w:p w14:paraId="2CE16699">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5.3、成交供应商未能按合同约定的时间提供服务的，每逾期一天，成交供应商应向采购人支付200元违约金，若因此给采购人造成损失的，成交供应商还应赔偿采购人所受的损失。</w:t>
      </w:r>
    </w:p>
    <w:p w14:paraId="7C5EC31C">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5.4、成交供应商未能按合同约定的时间提供售后质保服务的，每逾期一天，成交供应商应向采购人支付200元违约金，若因此给采购人造成损失的，成交供应商还应赔偿采购人所受的损失。且采购人有权寻找第三方提供服务，所需费用采购人有权在未付合同款中直接扣除，未付合同款不足以抵扣的，采购人有权向成交供应商追偿。</w:t>
      </w:r>
    </w:p>
    <w:p w14:paraId="113F34BA">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5.5、成交供应商提供的服务未达到合同约定的标准，应在采购人规定的时间内予以整改，每逾期一天，成交供应商应向采购人支付200元违约金，若因此给采购人造成损失的，成交供应商还应赔偿采购人所受的损失。未在规定时间内整改完成的，采购人有权单方面解除合同并要求成交供应商支付合同总金额30%的违约金，成交供应商仍应按上述约定支付逾期违约金。</w:t>
      </w:r>
    </w:p>
    <w:p w14:paraId="553FF467">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5.6、采购人有权在未付合同款中直接扣减成交供应商应付违约金。未付合同款不足以支付违约金的，采购人有权追索和索赔。</w:t>
      </w:r>
    </w:p>
    <w:p w14:paraId="2BC7869F">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5.7、成交供应商履行义务不符合合同规定时，若成交供应商未在接到采购人通知起七天内缴纳违约金的，采购人有权扣减合同款。合同款不足以赔偿的，采购人有权提出追索和索赔。</w:t>
      </w:r>
    </w:p>
    <w:p w14:paraId="00982A31">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5.8、因成交供应商原因发生重大质量事故或数据安全事故（包括但不限于数据丢失、数据泄密等），成交供应商应赔偿采购人因此产生的一切损失，采购人有权单方面解除合同并要求成交供应商支付合同总金额30%的违约金。成交供应商除依约承担修复责任及赔偿责任外，还将按有关质量管理办法规定执行。同时，采购人有权报相关行政主管部门处罚。</w:t>
      </w:r>
    </w:p>
    <w:p w14:paraId="585092EA">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5.9、任何一方因对方违约，向违约方主张权利所支出的律师费、诉讼费/仲裁费、保全费、差旅费等费用均有权要求违约方承担。</w:t>
      </w:r>
    </w:p>
    <w:p w14:paraId="6D017BC9">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jc w:val="both"/>
        <w:textAlignment w:val="auto"/>
        <w:rPr>
          <w:rFonts w:hint="eastAsia" w:ascii="方正仿宋_GB2312" w:hAnsi="方正仿宋_GB2312" w:eastAsia="方正仿宋_GB2312" w:cs="方正仿宋_GB2312"/>
          <w:b/>
          <w:bCs/>
          <w:kern w:val="2"/>
          <w:sz w:val="28"/>
          <w:szCs w:val="28"/>
          <w:highlight w:val="none"/>
          <w:lang w:val="en-US" w:eastAsia="zh-CN" w:bidi="ar-SA"/>
        </w:rPr>
      </w:pPr>
      <w:r>
        <w:rPr>
          <w:rFonts w:hint="eastAsia" w:ascii="方正仿宋_GB2312" w:hAnsi="方正仿宋_GB2312" w:eastAsia="方正仿宋_GB2312" w:cs="方正仿宋_GB2312"/>
          <w:b/>
          <w:bCs/>
          <w:kern w:val="2"/>
          <w:sz w:val="28"/>
          <w:szCs w:val="28"/>
          <w:highlight w:val="none"/>
          <w:lang w:val="en-US" w:eastAsia="zh-CN" w:bidi="ar-SA"/>
        </w:rPr>
        <w:t>6、知识产权和保密义务</w:t>
      </w:r>
    </w:p>
    <w:p w14:paraId="37D39B06">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6.1、采购人有权将成交供应商所提供的一切与本项目有关的资料分发给与本项目相关的各方，并不由此而构成任何侵权，但不得向任何与本项目无关的第三方提供。</w:t>
      </w:r>
    </w:p>
    <w:p w14:paraId="4396F6B9">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6.2、项目实施期间和完成之后，本项目的资料、数据、研究成果等的所有权属于采购人，且无需经成交供应商同意，采购人可无偿、自主使用。</w:t>
      </w:r>
    </w:p>
    <w:p w14:paraId="459FD818">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6.3、本项目的所有权、使用权归采购人所有。</w:t>
      </w:r>
    </w:p>
    <w:p w14:paraId="4B6A4BBC">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val="0"/>
          <w:bCs w:val="0"/>
          <w:kern w:val="2"/>
          <w:sz w:val="28"/>
          <w:szCs w:val="28"/>
          <w:highlight w:val="none"/>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6.4、成交供应商保证，采购人在中华人民共和国境内使用由成交供应商提供的系统软件或其他任何一部分时，都是合法的，不会受到第三方提出的侵权责任的追究，不致使采购人蒙受任何费用、损害、赔偿、请求、追讨或法律行动等方面的损失，上述行为所造成的后果由成交供应商承担。</w:t>
      </w:r>
    </w:p>
    <w:p w14:paraId="63552D0D">
      <w:pPr>
        <w:pStyle w:val="26"/>
        <w:keepNext w:val="0"/>
        <w:keepLines w:val="0"/>
        <w:pageBreakBefore w:val="0"/>
        <w:numPr>
          <w:ilvl w:val="0"/>
          <w:numId w:val="0"/>
        </w:numPr>
        <w:kinsoku/>
        <w:wordWrap/>
        <w:overflowPunct/>
        <w:topLinePunct w:val="0"/>
        <w:autoSpaceDE/>
        <w:autoSpaceDN/>
        <w:bidi w:val="0"/>
        <w:adjustRightInd/>
        <w:snapToGrid/>
        <w:spacing w:after="150" w:line="360" w:lineRule="exact"/>
        <w:ind w:firstLine="560" w:firstLineChars="200"/>
        <w:jc w:val="both"/>
        <w:textAlignment w:val="auto"/>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val="0"/>
          <w:bCs w:val="0"/>
          <w:kern w:val="2"/>
          <w:sz w:val="28"/>
          <w:szCs w:val="28"/>
          <w:highlight w:val="none"/>
          <w:lang w:val="en-US" w:eastAsia="zh-CN" w:bidi="ar-SA"/>
        </w:rPr>
        <w:t>6.5、成交供应商承担的保密义务在本项目终止后继续有效，不受时间限制。</w:t>
      </w:r>
    </w:p>
    <w:p w14:paraId="17074D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rPr>
          <w:rFonts w:hint="eastAsia" w:ascii="方正仿宋_GB2312" w:hAnsi="方正仿宋_GB2312" w:eastAsia="方正仿宋_GB2312" w:cs="方正仿宋_GB2312"/>
          <w:b/>
          <w:bCs/>
          <w:kern w:val="2"/>
          <w:sz w:val="28"/>
          <w:szCs w:val="28"/>
          <w:lang w:val="en-US" w:eastAsia="zh-CN" w:bidi="ar-SA"/>
        </w:rPr>
      </w:pPr>
      <w:r>
        <w:rPr>
          <w:rFonts w:hint="eastAsia" w:ascii="方正仿宋_GB2312" w:hAnsi="方正仿宋_GB2312" w:eastAsia="方正仿宋_GB2312" w:cs="方正仿宋_GB2312"/>
          <w:b/>
          <w:bCs/>
          <w:kern w:val="2"/>
          <w:sz w:val="28"/>
          <w:szCs w:val="28"/>
          <w:lang w:val="en-US" w:eastAsia="zh-CN" w:bidi="ar-SA"/>
        </w:rPr>
        <w:t>五、供应商资格要求及审查办法</w:t>
      </w:r>
    </w:p>
    <w:p w14:paraId="3F7390A9">
      <w:pPr>
        <w:pStyle w:val="4"/>
        <w:keepNext w:val="0"/>
        <w:keepLines w:val="0"/>
        <w:pageBreakBefore w:val="0"/>
        <w:numPr>
          <w:ilvl w:val="0"/>
          <w:numId w:val="0"/>
        </w:numPr>
        <w:kinsoku/>
        <w:wordWrap/>
        <w:overflowPunct/>
        <w:topLinePunct w:val="0"/>
        <w:autoSpaceDE/>
        <w:autoSpaceDN/>
        <w:bidi w:val="0"/>
        <w:adjustRightInd/>
        <w:snapToGrid/>
        <w:spacing w:line="360" w:lineRule="exact"/>
        <w:ind w:firstLine="560" w:firstLineChars="200"/>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（一）一般资格要求：</w:t>
      </w:r>
    </w:p>
    <w:p w14:paraId="7125CDFF">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1.供应商应是具备独立企业法人资格,有能力承接本项目的国内企业 (供应商应在响应文件中提供企业法人营业执照复印件,并加盖供应商单位公章)；</w:t>
      </w:r>
    </w:p>
    <w:p w14:paraId="62F0673C">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kern w:val="2"/>
          <w:sz w:val="28"/>
          <w:szCs w:val="28"/>
          <w:lang w:val="en-US" w:eastAsia="zh-CN" w:bidi="ar-SA"/>
        </w:rPr>
        <w:t>2.法定代表人授权书原件（若是单位负责人参加谈判的可无须提供本函），(供应商应按照附件“响应</w:t>
      </w:r>
      <w:r>
        <w:rPr>
          <w:rFonts w:hint="eastAsia" w:ascii="方正仿宋_GB2312" w:hAnsi="方正仿宋_GB2312" w:eastAsia="方正仿宋_GB2312" w:cs="方正仿宋_GB2312"/>
          <w:color w:val="auto"/>
          <w:spacing w:val="0"/>
          <w:sz w:val="28"/>
          <w:szCs w:val="28"/>
          <w:highlight w:val="none"/>
        </w:rPr>
        <w:t>文件格式”)；</w:t>
      </w:r>
    </w:p>
    <w:p w14:paraId="53E1F4D1">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val="en-US" w:eastAsia="zh-CN"/>
        </w:rPr>
      </w:pPr>
      <w:r>
        <w:rPr>
          <w:rFonts w:hint="eastAsia" w:ascii="方正仿宋_GB2312" w:hAnsi="方正仿宋_GB2312" w:eastAsia="方正仿宋_GB2312" w:cs="方正仿宋_GB2312"/>
          <w:color w:val="auto"/>
          <w:spacing w:val="0"/>
          <w:sz w:val="28"/>
          <w:szCs w:val="28"/>
          <w:highlight w:val="none"/>
          <w:lang w:val="en-US" w:eastAsia="zh-CN"/>
        </w:rPr>
        <w:t>3.提供财务状况报告(财务报告、或资信证明）。供应商提供的财务报告复印件（成立年限按照投标/响应截止时间推算）应符合下列规定： a.成立年限满1年及以上的投标/响应人，提供经审计的上一年度的年度财务报告。 b.成立年限满半年但不足1年的投标/响应人，提供该半年度中任一季度的季度财务报告或该半年度的半年度财务报告。 c.无法按照以上a、b项规定提供财务报告复印件的投标/响应人（包括但不限于：成立年限满1年及以上的投标/响应人、成立年限满半年但不足1年的投标/响应人、成立年限不足半年的投标/响应人），应选择提供资信证明复印件。（详见附件“响应文件格式”)；</w:t>
      </w:r>
    </w:p>
    <w:p w14:paraId="70C48CA1">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4.</w:t>
      </w:r>
      <w:r>
        <w:rPr>
          <w:rFonts w:hint="eastAsia" w:ascii="方正仿宋_GB2312" w:hAnsi="方正仿宋_GB2312" w:eastAsia="方正仿宋_GB2312" w:cs="方正仿宋_GB2312"/>
          <w:color w:val="auto"/>
          <w:spacing w:val="0"/>
          <w:sz w:val="28"/>
          <w:szCs w:val="28"/>
          <w:highlight w:val="none"/>
        </w:rPr>
        <w:t>依法缴纳税收和社会保障资金的承诺函或提供投标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截止时间前六个月（不含投标</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响应</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rPr>
        <w:t>截止时间的当月）中任一个月的依法缴纳税收</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完税证明或无欠税证明</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pacing w:val="0"/>
          <w:sz w:val="28"/>
          <w:szCs w:val="28"/>
          <w:highlight w:val="none"/>
        </w:rPr>
        <w:t>和社会保障资金的凭据(详见附件“响应文件格式”)；</w:t>
      </w:r>
    </w:p>
    <w:p w14:paraId="61BA61B6">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5.</w:t>
      </w:r>
      <w:r>
        <w:rPr>
          <w:rFonts w:hint="eastAsia" w:ascii="方正仿宋_GB2312" w:hAnsi="方正仿宋_GB2312" w:eastAsia="方正仿宋_GB2312" w:cs="方正仿宋_GB2312"/>
          <w:color w:val="auto"/>
          <w:spacing w:val="0"/>
          <w:sz w:val="28"/>
          <w:szCs w:val="28"/>
          <w:highlight w:val="none"/>
        </w:rPr>
        <w:t>参加本项目响应前3年内在经营活动中没有重大违法记录的书面声明函(详见附件“响应文件格式”)；</w:t>
      </w:r>
    </w:p>
    <w:p w14:paraId="4AC84A6D">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6.</w:t>
      </w:r>
      <w:r>
        <w:rPr>
          <w:rFonts w:hint="eastAsia" w:ascii="方正仿宋_GB2312" w:hAnsi="方正仿宋_GB2312" w:eastAsia="方正仿宋_GB2312" w:cs="方正仿宋_GB2312"/>
          <w:color w:val="auto"/>
          <w:spacing w:val="0"/>
          <w:sz w:val="28"/>
          <w:szCs w:val="28"/>
          <w:highlight w:val="none"/>
        </w:rPr>
        <w:t>具备履行合同所必需的设备和专业技术能力的声明函(详见附件“响应文件格式”)；</w:t>
      </w:r>
    </w:p>
    <w:p w14:paraId="6B987F6F">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7.</w:t>
      </w:r>
      <w:r>
        <w:rPr>
          <w:rFonts w:hint="eastAsia" w:ascii="方正仿宋_GB2312" w:hAnsi="方正仿宋_GB2312" w:eastAsia="方正仿宋_GB2312" w:cs="方正仿宋_GB2312"/>
          <w:color w:val="auto"/>
          <w:spacing w:val="0"/>
          <w:sz w:val="28"/>
          <w:szCs w:val="28"/>
          <w:highlight w:val="none"/>
        </w:rPr>
        <w:t>信用信息查询记录证明材料（根据财库〔2016〕125号文件规定，供应商不得被列入失信被执行人、重大税收违法案件当事人名单、政府采购严重违法失信行为记录名单）。供应商针对“信用记录查询结果”可自主提供证明材料，未提供该证明材料的不视为响应无效。信用记录的审查：由</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小组通过“信用中国”网站（www.creditchina.gov.cn）和中国政府采购网（www.ccgp.gov.cn）查询并打印供应商信用记录。若查询结果存在供应商应被拒绝参与政府采购活动相关信息的，其资格审查不合格）。</w:t>
      </w:r>
    </w:p>
    <w:p w14:paraId="571B0E1A">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0"/>
          <w:sz w:val="28"/>
          <w:szCs w:val="28"/>
          <w:highlight w:val="none"/>
          <w:lang w:val="en-US" w:eastAsia="zh-CN"/>
        </w:rPr>
        <w:t>8.</w:t>
      </w:r>
      <w:r>
        <w:rPr>
          <w:rFonts w:hint="eastAsia" w:ascii="方正仿宋_GB2312" w:hAnsi="方正仿宋_GB2312" w:eastAsia="方正仿宋_GB2312" w:cs="方正仿宋_GB2312"/>
          <w:color w:val="auto"/>
          <w:spacing w:val="0"/>
          <w:sz w:val="28"/>
          <w:szCs w:val="28"/>
          <w:highlight w:val="none"/>
        </w:rPr>
        <w:t>本项目不接受联合体</w:t>
      </w:r>
      <w:r>
        <w:rPr>
          <w:rFonts w:hint="eastAsia" w:ascii="方正仿宋_GB2312" w:hAnsi="方正仿宋_GB2312" w:eastAsia="方正仿宋_GB2312" w:cs="方正仿宋_GB2312"/>
          <w:color w:val="auto"/>
          <w:spacing w:val="0"/>
          <w:sz w:val="28"/>
          <w:szCs w:val="28"/>
          <w:highlight w:val="none"/>
          <w:lang w:val="en-US" w:eastAsia="zh-CN"/>
        </w:rPr>
        <w:t>谈判</w:t>
      </w:r>
      <w:r>
        <w:rPr>
          <w:rFonts w:hint="eastAsia" w:ascii="方正仿宋_GB2312" w:hAnsi="方正仿宋_GB2312" w:eastAsia="方正仿宋_GB2312" w:cs="方正仿宋_GB2312"/>
          <w:color w:val="auto"/>
          <w:spacing w:val="0"/>
          <w:sz w:val="28"/>
          <w:szCs w:val="28"/>
          <w:highlight w:val="none"/>
        </w:rPr>
        <w:t>，不允许分包</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转包</w:t>
      </w:r>
      <w:r>
        <w:rPr>
          <w:rFonts w:hint="eastAsia" w:ascii="方正仿宋_GB2312" w:hAnsi="方正仿宋_GB2312" w:eastAsia="方正仿宋_GB2312" w:cs="方正仿宋_GB2312"/>
          <w:color w:val="auto"/>
          <w:sz w:val="28"/>
          <w:szCs w:val="28"/>
          <w:highlight w:val="none"/>
        </w:rPr>
        <w:t>（需提供承诺函或声明函）。</w:t>
      </w:r>
    </w:p>
    <w:p w14:paraId="5E50E32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outlineLvl w:val="9"/>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sz w:val="28"/>
          <w:szCs w:val="28"/>
        </w:rPr>
        <w:t>本项目为专门面向中小企业采购项目，供应商应按以下要求提供相关证明材料：①供应商符合《工业和信息化部、国家统计局、国家发展和改革委员会、财政部关于印发中小企业划型标准规定的通知》（工信部联企业[2011]300号）规定的中小企业划分标准，提供《中小企业声明函》（货物、工程、服务）。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供应商应按照响应文件格式规定提供。本项目为</w:t>
      </w:r>
      <w:r>
        <w:rPr>
          <w:rFonts w:hint="eastAsia" w:ascii="方正仿宋_GB2312" w:hAnsi="方正仿宋_GB2312" w:eastAsia="方正仿宋_GB2312" w:cs="方正仿宋_GB2312"/>
          <w:sz w:val="28"/>
          <w:szCs w:val="28"/>
          <w:lang w:val="en-US" w:eastAsia="zh-CN"/>
        </w:rPr>
        <w:t>服务</w:t>
      </w:r>
      <w:r>
        <w:rPr>
          <w:rFonts w:hint="eastAsia" w:ascii="方正仿宋_GB2312" w:hAnsi="方正仿宋_GB2312" w:eastAsia="方正仿宋_GB2312" w:cs="方正仿宋_GB2312"/>
          <w:sz w:val="28"/>
          <w:szCs w:val="28"/>
        </w:rPr>
        <w:t>类采购项目，本项目（采购标的）所属行业为“</w:t>
      </w:r>
      <w:r>
        <w:rPr>
          <w:rFonts w:hint="eastAsia" w:ascii="方正仿宋_GB2312" w:hAnsi="方正仿宋_GB2312" w:eastAsia="方正仿宋_GB2312" w:cs="方正仿宋_GB2312"/>
          <w:sz w:val="28"/>
          <w:szCs w:val="28"/>
          <w:lang w:val="en-US" w:eastAsia="zh-CN"/>
        </w:rPr>
        <w:t>软件和信息技术服务业</w:t>
      </w:r>
      <w:r>
        <w:rPr>
          <w:rFonts w:hint="eastAsia" w:ascii="方正仿宋_GB2312" w:hAnsi="方正仿宋_GB2312" w:eastAsia="方正仿宋_GB2312" w:cs="方正仿宋_GB2312"/>
          <w:sz w:val="28"/>
          <w:szCs w:val="28"/>
        </w:rPr>
        <w:t>”。</w:t>
      </w:r>
    </w:p>
    <w:p w14:paraId="769157F4">
      <w:pPr>
        <w:keepNext w:val="0"/>
        <w:keepLines w:val="0"/>
        <w:pageBreakBefore w:val="0"/>
        <w:widowControl/>
        <w:kinsoku/>
        <w:wordWrap/>
        <w:overflowPunct/>
        <w:topLinePunct w:val="0"/>
        <w:autoSpaceDE/>
        <w:autoSpaceDN/>
        <w:bidi w:val="0"/>
        <w:adjustRightInd/>
        <w:snapToGrid/>
        <w:spacing w:beforeLines="0" w:afterLines="0" w:line="360" w:lineRule="exact"/>
        <w:ind w:firstLine="560" w:firstLineChars="200"/>
        <w:jc w:val="left"/>
        <w:textAlignment w:val="auto"/>
        <w:outlineLvl w:val="9"/>
        <w:rPr>
          <w:rFonts w:hint="eastAsia" w:ascii="方正仿宋_GB2312" w:hAnsi="方正仿宋_GB2312" w:eastAsia="方正仿宋_GB2312" w:cs="方正仿宋_GB2312"/>
          <w:color w:val="auto"/>
          <w:spacing w:val="0"/>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val="en-US" w:eastAsia="zh-CN"/>
        </w:rPr>
        <w:t>（二）</w:t>
      </w:r>
      <w:r>
        <w:rPr>
          <w:rFonts w:hint="eastAsia" w:ascii="方正仿宋_GB2312" w:hAnsi="方正仿宋_GB2312" w:eastAsia="方正仿宋_GB2312" w:cs="方正仿宋_GB2312"/>
          <w:color w:val="auto"/>
          <w:spacing w:val="0"/>
          <w:kern w:val="2"/>
          <w:sz w:val="28"/>
          <w:szCs w:val="28"/>
          <w:highlight w:val="none"/>
          <w:lang w:val="en-US" w:eastAsia="zh-CN" w:bidi="ar-SA"/>
        </w:rPr>
        <w:t>资格承诺函</w:t>
      </w:r>
      <w:r>
        <w:rPr>
          <w:rFonts w:hint="eastAsia" w:ascii="方正仿宋_GB2312" w:hAnsi="方正仿宋_GB2312" w:eastAsia="方正仿宋_GB2312" w:cs="方正仿宋_GB2312"/>
          <w:color w:val="auto"/>
          <w:spacing w:val="0"/>
          <w:sz w:val="28"/>
          <w:szCs w:val="28"/>
          <w:highlight w:val="none"/>
          <w:lang w:eastAsia="zh-CN"/>
        </w:rPr>
        <w:t>：</w:t>
      </w:r>
    </w:p>
    <w:p w14:paraId="7CA8E8E5">
      <w:pPr>
        <w:pStyle w:val="5"/>
        <w:keepNext w:val="0"/>
        <w:keepLines w:val="0"/>
        <w:pageBreakBefore w:val="0"/>
        <w:kinsoku/>
        <w:wordWrap/>
        <w:overflowPunct/>
        <w:topLinePunct w:val="0"/>
        <w:autoSpaceDE/>
        <w:autoSpaceDN/>
        <w:bidi w:val="0"/>
        <w:adjustRightInd/>
        <w:snapToGrid/>
        <w:spacing w:line="360" w:lineRule="exact"/>
        <w:rPr>
          <w:rFonts w:hint="eastAsia" w:ascii="方正仿宋_GB2312" w:hAnsi="方正仿宋_GB2312" w:eastAsia="方正仿宋_GB2312" w:cs="方正仿宋_GB2312"/>
          <w:color w:val="auto"/>
          <w:spacing w:val="0"/>
          <w:kern w:val="2"/>
          <w:sz w:val="28"/>
          <w:szCs w:val="28"/>
          <w:highlight w:val="none"/>
          <w:lang w:val="en-US" w:eastAsia="zh-CN" w:bidi="ar-SA"/>
        </w:rPr>
      </w:pPr>
      <w:r>
        <w:rPr>
          <w:rFonts w:hint="eastAsia" w:ascii="方正仿宋_GB2312" w:hAnsi="方正仿宋_GB2312" w:eastAsia="方正仿宋_GB2312" w:cs="方正仿宋_GB2312"/>
          <w:color w:val="auto"/>
          <w:spacing w:val="0"/>
          <w:kern w:val="2"/>
          <w:sz w:val="28"/>
          <w:szCs w:val="28"/>
          <w:highlight w:val="none"/>
          <w:lang w:val="en-US" w:eastAsia="zh-CN" w:bidi="ar-SA"/>
        </w:rPr>
        <w:t xml:space="preserve">    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p w14:paraId="47BE474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color w:val="auto"/>
          <w:spacing w:val="0"/>
          <w:sz w:val="28"/>
          <w:szCs w:val="28"/>
          <w:highlight w:val="none"/>
          <w:lang w:val="en-US" w:eastAsia="zh-CN"/>
        </w:rPr>
        <w:t>三</w:t>
      </w:r>
      <w:r>
        <w:rPr>
          <w:rFonts w:hint="eastAsia" w:ascii="方正仿宋_GB2312" w:hAnsi="方正仿宋_GB2312" w:eastAsia="方正仿宋_GB2312" w:cs="方正仿宋_GB2312"/>
          <w:color w:val="auto"/>
          <w:spacing w:val="0"/>
          <w:sz w:val="28"/>
          <w:szCs w:val="28"/>
          <w:highlight w:val="none"/>
          <w:lang w:eastAsia="zh-CN"/>
        </w:rPr>
        <w:t>）</w:t>
      </w:r>
      <w:r>
        <w:rPr>
          <w:rFonts w:hint="eastAsia" w:ascii="方正仿宋_GB2312" w:hAnsi="方正仿宋_GB2312" w:eastAsia="方正仿宋_GB2312" w:cs="方正仿宋_GB2312"/>
          <w:b/>
          <w:bCs/>
          <w:color w:val="auto"/>
          <w:spacing w:val="0"/>
          <w:sz w:val="28"/>
          <w:szCs w:val="28"/>
          <w:highlight w:val="none"/>
          <w:lang w:val="en-US" w:eastAsia="zh-CN"/>
        </w:rPr>
        <w:t>特定资格要求：</w:t>
      </w:r>
      <w:r>
        <w:rPr>
          <w:rFonts w:hint="eastAsia" w:ascii="方正仿宋_GB2312" w:hAnsi="方正仿宋_GB2312" w:eastAsia="方正仿宋_GB2312" w:cs="方正仿宋_GB2312"/>
          <w:b/>
          <w:bCs/>
          <w:color w:val="auto"/>
          <w:spacing w:val="0"/>
          <w:sz w:val="28"/>
          <w:szCs w:val="28"/>
          <w:highlight w:val="none"/>
          <w:lang w:eastAsia="zh-CN"/>
        </w:rPr>
        <w:t>无。</w:t>
      </w:r>
    </w:p>
    <w:p w14:paraId="6EAB413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四</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资格审查采用方式：截标后即开始评审。</w:t>
      </w:r>
    </w:p>
    <w:p w14:paraId="533865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五</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本项目为非政府采购项目，参照政府采购竞争性谈判的流程进行。供应商应对响应文件资料的真实性负责，</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在授予合同之前有权对其响应文件资料进行核实，如发现所提交的资料不真实，</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将视其为以弄虚作假方式骗取中标</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成交</w:t>
      </w:r>
      <w:r>
        <w:rPr>
          <w:rFonts w:hint="eastAsia" w:ascii="方正仿宋_GB2312" w:hAnsi="方正仿宋_GB2312" w:eastAsia="方正仿宋_GB2312" w:cs="方正仿宋_GB2312"/>
          <w:color w:val="auto"/>
          <w:sz w:val="28"/>
          <w:szCs w:val="28"/>
          <w:highlight w:val="none"/>
        </w:rPr>
        <w:t>，其成交无效，若给</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造成损失的，应依法承担赔偿责任。</w:t>
      </w:r>
    </w:p>
    <w:p w14:paraId="3580F6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六</w:t>
      </w:r>
      <w:r>
        <w:rPr>
          <w:rStyle w:val="14"/>
          <w:rFonts w:hint="eastAsia" w:ascii="方正仿宋_GB2312" w:hAnsi="方正仿宋_GB2312" w:eastAsia="方正仿宋_GB2312" w:cs="方正仿宋_GB2312"/>
          <w:b/>
          <w:bCs w:val="0"/>
          <w:color w:val="auto"/>
          <w:sz w:val="28"/>
          <w:szCs w:val="28"/>
          <w:highlight w:val="none"/>
        </w:rPr>
        <w:t>、</w:t>
      </w:r>
      <w:r>
        <w:rPr>
          <w:rStyle w:val="14"/>
          <w:rFonts w:hint="eastAsia" w:ascii="方正仿宋_GB2312" w:hAnsi="方正仿宋_GB2312" w:eastAsia="方正仿宋_GB2312" w:cs="方正仿宋_GB2312"/>
          <w:b/>
          <w:bCs w:val="0"/>
          <w:color w:val="auto"/>
          <w:sz w:val="28"/>
          <w:szCs w:val="28"/>
          <w:highlight w:val="none"/>
          <w:lang w:eastAsia="zh-CN"/>
        </w:rPr>
        <w:t>谈判文件</w:t>
      </w:r>
      <w:r>
        <w:rPr>
          <w:rStyle w:val="14"/>
          <w:rFonts w:hint="eastAsia" w:ascii="方正仿宋_GB2312" w:hAnsi="方正仿宋_GB2312" w:eastAsia="方正仿宋_GB2312" w:cs="方正仿宋_GB2312"/>
          <w:b/>
          <w:bCs w:val="0"/>
          <w:color w:val="auto"/>
          <w:sz w:val="28"/>
          <w:szCs w:val="28"/>
          <w:highlight w:val="none"/>
        </w:rPr>
        <w:t>的获取</w:t>
      </w:r>
    </w:p>
    <w:p w14:paraId="670B939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1、本谈判项目不采用电子谈判</w:t>
      </w:r>
    </w:p>
    <w:p w14:paraId="1F5B00A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b w:val="0"/>
          <w:color w:val="auto"/>
          <w:spacing w:val="0"/>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lang w:eastAsia="zh-CN"/>
        </w:rPr>
        <w:t>文件</w:t>
      </w:r>
      <w:r>
        <w:rPr>
          <w:rFonts w:hint="eastAsia" w:ascii="方正仿宋_GB2312" w:hAnsi="方正仿宋_GB2312" w:eastAsia="方正仿宋_GB2312" w:cs="方正仿宋_GB2312"/>
          <w:color w:val="auto"/>
          <w:sz w:val="28"/>
          <w:szCs w:val="28"/>
          <w:highlight w:val="none"/>
        </w:rPr>
        <w:t>请自行在网站上</w:t>
      </w:r>
      <w:r>
        <w:rPr>
          <w:rFonts w:hint="eastAsia" w:ascii="方正仿宋_GB2312" w:hAnsi="方正仿宋_GB2312" w:eastAsia="方正仿宋_GB2312" w:cs="方正仿宋_GB2312"/>
          <w:color w:val="auto"/>
          <w:sz w:val="28"/>
          <w:szCs w:val="28"/>
          <w:highlight w:val="none"/>
          <w:lang w:eastAsia="zh-CN"/>
        </w:rPr>
        <w:t>查看：</w:t>
      </w:r>
      <w:r>
        <w:rPr>
          <w:rFonts w:hint="eastAsia" w:ascii="方正仿宋_GB2312" w:hAnsi="方正仿宋_GB2312" w:eastAsia="方正仿宋_GB2312" w:cs="方正仿宋_GB2312"/>
          <w:b w:val="0"/>
          <w:color w:val="auto"/>
          <w:spacing w:val="0"/>
          <w:sz w:val="28"/>
          <w:szCs w:val="28"/>
          <w:highlight w:val="none"/>
          <w:lang w:val="en-US" w:eastAsia="zh-CN"/>
        </w:rPr>
        <w:fldChar w:fldCharType="begin"/>
      </w:r>
      <w:r>
        <w:rPr>
          <w:rFonts w:hint="eastAsia" w:ascii="方正仿宋_GB2312" w:hAnsi="方正仿宋_GB2312" w:eastAsia="方正仿宋_GB2312" w:cs="方正仿宋_GB2312"/>
          <w:b w:val="0"/>
          <w:color w:val="auto"/>
          <w:spacing w:val="0"/>
          <w:sz w:val="28"/>
          <w:szCs w:val="28"/>
          <w:highlight w:val="none"/>
          <w:lang w:val="en-US" w:eastAsia="zh-CN"/>
        </w:rPr>
        <w:instrText xml:space="preserve"> HYPERLINK "http://www.fjsj.com/" </w:instrText>
      </w:r>
      <w:r>
        <w:rPr>
          <w:rFonts w:hint="eastAsia" w:ascii="方正仿宋_GB2312" w:hAnsi="方正仿宋_GB2312" w:eastAsia="方正仿宋_GB2312" w:cs="方正仿宋_GB2312"/>
          <w:b w:val="0"/>
          <w:color w:val="auto"/>
          <w:spacing w:val="0"/>
          <w:sz w:val="28"/>
          <w:szCs w:val="28"/>
          <w:highlight w:val="none"/>
          <w:lang w:val="en-US" w:eastAsia="zh-CN"/>
        </w:rPr>
        <w:fldChar w:fldCharType="separate"/>
      </w:r>
      <w:r>
        <w:rPr>
          <w:rStyle w:val="15"/>
          <w:rFonts w:hint="eastAsia" w:ascii="方正仿宋_GB2312" w:hAnsi="方正仿宋_GB2312" w:eastAsia="方正仿宋_GB2312" w:cs="方正仿宋_GB2312"/>
          <w:b w:val="0"/>
          <w:color w:val="auto"/>
          <w:spacing w:val="0"/>
          <w:sz w:val="28"/>
          <w:szCs w:val="28"/>
          <w:highlight w:val="none"/>
          <w:lang w:val="en-US" w:eastAsia="zh-CN"/>
        </w:rPr>
        <w:t>http://www.fjsj.com/</w:t>
      </w:r>
      <w:r>
        <w:rPr>
          <w:rFonts w:hint="eastAsia" w:ascii="方正仿宋_GB2312" w:hAnsi="方正仿宋_GB2312" w:eastAsia="方正仿宋_GB2312" w:cs="方正仿宋_GB2312"/>
          <w:b w:val="0"/>
          <w:color w:val="auto"/>
          <w:spacing w:val="0"/>
          <w:sz w:val="28"/>
          <w:szCs w:val="28"/>
          <w:highlight w:val="none"/>
          <w:lang w:val="en-US" w:eastAsia="zh-CN"/>
        </w:rPr>
        <w:fldChar w:fldCharType="end"/>
      </w:r>
    </w:p>
    <w:p w14:paraId="0E88153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3、项目联系人：</w:t>
      </w:r>
    </w:p>
    <w:p w14:paraId="2CEE669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eastAsia="zh-CN"/>
        </w:rPr>
        <w:t>采购单位</w:t>
      </w:r>
      <w:r>
        <w:rPr>
          <w:rFonts w:hint="eastAsia" w:ascii="方正仿宋_GB2312" w:hAnsi="方正仿宋_GB2312" w:eastAsia="方正仿宋_GB2312" w:cs="方正仿宋_GB2312"/>
          <w:color w:val="auto"/>
          <w:sz w:val="28"/>
          <w:szCs w:val="28"/>
          <w:highlight w:val="none"/>
        </w:rPr>
        <w:t>联系人：</w:t>
      </w:r>
      <w:r>
        <w:rPr>
          <w:rFonts w:hint="eastAsia" w:ascii="方正仿宋_GB2312" w:hAnsi="方正仿宋_GB2312" w:eastAsia="方正仿宋_GB2312" w:cs="方正仿宋_GB2312"/>
          <w:color w:val="auto"/>
          <w:sz w:val="28"/>
          <w:szCs w:val="28"/>
          <w:highlight w:val="none"/>
          <w:lang w:val="en-US" w:eastAsia="zh-CN"/>
        </w:rPr>
        <w:t xml:space="preserve">李工  </w:t>
      </w:r>
      <w:r>
        <w:rPr>
          <w:rFonts w:hint="eastAsia" w:ascii="方正仿宋_GB2312" w:hAnsi="方正仿宋_GB2312" w:eastAsia="方正仿宋_GB2312" w:cs="方正仿宋_GB2312"/>
          <w:color w:val="auto"/>
          <w:sz w:val="28"/>
          <w:szCs w:val="28"/>
          <w:highlight w:val="none"/>
        </w:rPr>
        <w:t>联系电话：</w:t>
      </w:r>
      <w:r>
        <w:rPr>
          <w:rFonts w:hint="eastAsia" w:ascii="方正仿宋_GB2312" w:hAnsi="方正仿宋_GB2312" w:eastAsia="方正仿宋_GB2312" w:cs="方正仿宋_GB2312"/>
          <w:color w:val="auto"/>
          <w:sz w:val="28"/>
          <w:szCs w:val="28"/>
          <w:highlight w:val="none"/>
          <w:lang w:val="en-US" w:eastAsia="zh-CN"/>
        </w:rPr>
        <w:t xml:space="preserve">0591-88013014   </w:t>
      </w:r>
    </w:p>
    <w:p w14:paraId="6F27EEB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七</w:t>
      </w:r>
      <w:r>
        <w:rPr>
          <w:rStyle w:val="14"/>
          <w:rFonts w:hint="eastAsia" w:ascii="方正仿宋_GB2312" w:hAnsi="方正仿宋_GB2312" w:eastAsia="方正仿宋_GB2312" w:cs="方正仿宋_GB2312"/>
          <w:b/>
          <w:bCs w:val="0"/>
          <w:color w:val="auto"/>
          <w:sz w:val="28"/>
          <w:szCs w:val="28"/>
          <w:highlight w:val="none"/>
        </w:rPr>
        <w:t>、答疑截止时间</w:t>
      </w:r>
    </w:p>
    <w:p w14:paraId="38311A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供应商若要求澄清</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通知书，应在获取</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通知书后的1个工作日内提出，</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将随时解答。</w:t>
      </w:r>
    </w:p>
    <w:p w14:paraId="74FD57B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rPr>
          <w:rFonts w:hint="eastAsia" w:ascii="方正仿宋_GB2312" w:hAnsi="方正仿宋_GB2312" w:eastAsia="方正仿宋_GB2312" w:cs="方正仿宋_GB2312"/>
          <w:b/>
          <w:bCs w:val="0"/>
          <w:color w:val="auto"/>
          <w:sz w:val="28"/>
          <w:szCs w:val="28"/>
          <w:highlight w:val="none"/>
        </w:rPr>
      </w:pPr>
      <w:r>
        <w:rPr>
          <w:rStyle w:val="14"/>
          <w:rFonts w:hint="eastAsia" w:ascii="方正仿宋_GB2312" w:hAnsi="方正仿宋_GB2312" w:eastAsia="方正仿宋_GB2312" w:cs="方正仿宋_GB2312"/>
          <w:b/>
          <w:bCs w:val="0"/>
          <w:color w:val="auto"/>
          <w:sz w:val="28"/>
          <w:szCs w:val="28"/>
          <w:highlight w:val="none"/>
          <w:lang w:val="en-US" w:eastAsia="zh-CN"/>
        </w:rPr>
        <w:t>八</w:t>
      </w:r>
      <w:r>
        <w:rPr>
          <w:rStyle w:val="14"/>
          <w:rFonts w:hint="eastAsia" w:ascii="方正仿宋_GB2312" w:hAnsi="方正仿宋_GB2312" w:eastAsia="方正仿宋_GB2312" w:cs="方正仿宋_GB2312"/>
          <w:b/>
          <w:bCs w:val="0"/>
          <w:color w:val="auto"/>
          <w:sz w:val="28"/>
          <w:szCs w:val="28"/>
          <w:highlight w:val="none"/>
        </w:rPr>
        <w:t>、响应文件的要求及递交</w:t>
      </w:r>
    </w:p>
    <w:p w14:paraId="4C696D5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（1）响应文件要求：</w:t>
      </w:r>
    </w:p>
    <w:p w14:paraId="5210B80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1）除谈判文件另有规定外，响应文件应使用附件响应文件模板规定的格式。</w:t>
      </w:r>
    </w:p>
    <w:p w14:paraId="217B661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2）除谈判文件另有规定外，响应文件的正本和全部副本均应使用不能擦去的墨料或墨水打印、书写或复印，其中：</w:t>
      </w:r>
    </w:p>
    <w:p w14:paraId="606607F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①正本应用A4幅面纸张打印装订，编制封面（封面标明“正本”字样）、索引、页码，并用胶装装订成册。</w:t>
      </w:r>
    </w:p>
    <w:p w14:paraId="7BD5BC8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②副本应用A4幅面纸张打印装订，编制封面（封面标明“副本”字样）、索引、页码，并用胶装装订成册；副本可用正本的完整复印件，并与正本保持一致（若不一致，以正本为准）。</w:t>
      </w:r>
    </w:p>
    <w:p w14:paraId="7A6D450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（2）响应文件递交：</w:t>
      </w:r>
    </w:p>
    <w:p w14:paraId="176F8E8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1）响应文件正本1份、副本</w:t>
      </w: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份，分别标明“正本”“副本”字样，并密封加盖供应商公章。响应文件未密封完好将导致谈判被拒绝。</w:t>
      </w:r>
    </w:p>
    <w:p w14:paraId="483C2E0D">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2）首次响应文件递交时间：供应商应在</w:t>
      </w:r>
      <w:r>
        <w:rPr>
          <w:rFonts w:hint="eastAsia" w:ascii="方正仿宋_GB2312" w:hAnsi="方正仿宋_GB2312" w:eastAsia="方正仿宋_GB2312" w:cs="方正仿宋_GB2312"/>
          <w:color w:val="auto"/>
          <w:sz w:val="28"/>
          <w:szCs w:val="28"/>
          <w:highlight w:val="none"/>
          <w:lang w:val="en-US" w:eastAsia="zh-CN"/>
        </w:rPr>
        <w:t>2025</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10</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20</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rPr>
        <w:t>时</w:t>
      </w:r>
      <w:r>
        <w:rPr>
          <w:rFonts w:hint="eastAsia" w:ascii="方正仿宋_GB2312" w:hAnsi="方正仿宋_GB2312" w:eastAsia="方正仿宋_GB2312" w:cs="方正仿宋_GB2312"/>
          <w:color w:val="auto"/>
          <w:sz w:val="28"/>
          <w:szCs w:val="28"/>
          <w:highlight w:val="none"/>
          <w:lang w:val="en-US" w:eastAsia="zh-CN"/>
        </w:rPr>
        <w:t>00分</w:t>
      </w:r>
      <w:r>
        <w:rPr>
          <w:rFonts w:hint="eastAsia" w:ascii="方正仿宋_GB2312" w:hAnsi="方正仿宋_GB2312" w:eastAsia="方正仿宋_GB2312" w:cs="方正仿宋_GB2312"/>
          <w:color w:val="auto"/>
          <w:sz w:val="28"/>
          <w:szCs w:val="28"/>
          <w:highlight w:val="none"/>
        </w:rPr>
        <w:t>之前将密封的响应文件送达</w:t>
      </w:r>
      <w:r>
        <w:rPr>
          <w:rFonts w:hint="eastAsia" w:ascii="方正仿宋_GB2312" w:hAnsi="方正仿宋_GB2312" w:eastAsia="方正仿宋_GB2312" w:cs="方正仿宋_GB2312"/>
          <w:color w:val="auto"/>
          <w:sz w:val="28"/>
          <w:szCs w:val="28"/>
          <w:highlight w:val="none"/>
          <w:u w:val="single"/>
          <w:lang w:val="en-US" w:eastAsia="zh-CN"/>
        </w:rPr>
        <w:t>信息科办公室</w:t>
      </w:r>
      <w:r>
        <w:rPr>
          <w:rFonts w:hint="eastAsia" w:ascii="方正仿宋_GB2312" w:hAnsi="方正仿宋_GB2312" w:eastAsia="方正仿宋_GB2312" w:cs="方正仿宋_GB2312"/>
          <w:color w:val="auto"/>
          <w:sz w:val="28"/>
          <w:szCs w:val="28"/>
          <w:highlight w:val="none"/>
        </w:rPr>
        <w:t>，逾期送达的或不符合规定的响应文件将被拒绝接收。</w:t>
      </w:r>
    </w:p>
    <w:p w14:paraId="770F453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九</w:t>
      </w:r>
      <w:r>
        <w:rPr>
          <w:rStyle w:val="14"/>
          <w:rFonts w:hint="eastAsia" w:ascii="方正仿宋_GB2312" w:hAnsi="方正仿宋_GB2312" w:eastAsia="方正仿宋_GB2312" w:cs="方正仿宋_GB2312"/>
          <w:color w:val="auto"/>
          <w:sz w:val="28"/>
          <w:szCs w:val="28"/>
          <w:highlight w:val="none"/>
        </w:rPr>
        <w:t>、开标评标时间地点</w:t>
      </w:r>
    </w:p>
    <w:p w14:paraId="6EE0B30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1、响应文件递交截止时间：</w:t>
      </w:r>
      <w:r>
        <w:rPr>
          <w:rFonts w:hint="eastAsia" w:ascii="方正仿宋_GB2312" w:hAnsi="方正仿宋_GB2312" w:eastAsia="方正仿宋_GB2312" w:cs="方正仿宋_GB2312"/>
          <w:color w:val="auto"/>
          <w:sz w:val="28"/>
          <w:szCs w:val="28"/>
          <w:highlight w:val="none"/>
          <w:lang w:val="en-US" w:eastAsia="zh-CN"/>
        </w:rPr>
        <w:t>2025</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lang w:val="en-US" w:eastAsia="zh-CN"/>
        </w:rPr>
        <w:t>10</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lang w:val="en-US" w:eastAsia="zh-CN"/>
        </w:rPr>
        <w:t>20</w:t>
      </w:r>
      <w:r>
        <w:rPr>
          <w:rFonts w:hint="eastAsia" w:ascii="方正仿宋_GB2312" w:hAnsi="方正仿宋_GB2312" w:eastAsia="方正仿宋_GB2312" w:cs="方正仿宋_GB2312"/>
          <w:color w:val="auto"/>
          <w:sz w:val="28"/>
          <w:szCs w:val="28"/>
          <w:highlight w:val="none"/>
        </w:rPr>
        <w:t>日</w:t>
      </w:r>
      <w:r>
        <w:rPr>
          <w:rFonts w:hint="eastAsia" w:ascii="方正仿宋_GB2312" w:hAnsi="方正仿宋_GB2312" w:eastAsia="方正仿宋_GB2312" w:cs="方正仿宋_GB2312"/>
          <w:color w:val="auto"/>
          <w:sz w:val="28"/>
          <w:szCs w:val="28"/>
          <w:highlight w:val="none"/>
          <w:lang w:val="en-US" w:eastAsia="zh-CN"/>
        </w:rPr>
        <w:t>9</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00</w:t>
      </w:r>
      <w:r>
        <w:rPr>
          <w:rFonts w:hint="eastAsia" w:ascii="方正仿宋_GB2312" w:hAnsi="方正仿宋_GB2312" w:eastAsia="方正仿宋_GB2312" w:cs="方正仿宋_GB2312"/>
          <w:color w:val="auto"/>
          <w:sz w:val="28"/>
          <w:szCs w:val="28"/>
          <w:highlight w:val="none"/>
        </w:rPr>
        <w:t>（</w:t>
      </w:r>
      <w:bookmarkStart w:id="0" w:name="_GoBack"/>
      <w:bookmarkEnd w:id="0"/>
      <w:r>
        <w:rPr>
          <w:rFonts w:hint="eastAsia" w:ascii="方正仿宋_GB2312" w:hAnsi="方正仿宋_GB2312" w:eastAsia="方正仿宋_GB2312" w:cs="方正仿宋_GB2312"/>
          <w:color w:val="auto"/>
          <w:sz w:val="28"/>
          <w:szCs w:val="28"/>
          <w:highlight w:val="none"/>
        </w:rPr>
        <w:t>北京时间）</w:t>
      </w:r>
    </w:p>
    <w:p w14:paraId="3723A15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2、谈判时间：截标后即开始评审</w:t>
      </w:r>
    </w:p>
    <w:p w14:paraId="4994F641">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3、地点：</w:t>
      </w:r>
      <w:r>
        <w:rPr>
          <w:rFonts w:hint="eastAsia" w:ascii="方正仿宋_GB2312" w:hAnsi="方正仿宋_GB2312" w:eastAsia="方正仿宋_GB2312" w:cs="方正仿宋_GB2312"/>
          <w:color w:val="auto"/>
          <w:sz w:val="28"/>
          <w:szCs w:val="28"/>
          <w:highlight w:val="none"/>
          <w:lang w:eastAsia="zh-CN"/>
        </w:rPr>
        <w:t>建邦大厦会议室</w:t>
      </w:r>
      <w:r>
        <w:rPr>
          <w:rFonts w:hint="eastAsia" w:ascii="方正仿宋_GB2312" w:hAnsi="方正仿宋_GB2312" w:eastAsia="方正仿宋_GB2312" w:cs="方正仿宋_GB2312"/>
          <w:color w:val="auto"/>
          <w:sz w:val="28"/>
          <w:szCs w:val="28"/>
          <w:highlight w:val="none"/>
          <w:lang w:val="en-US" w:eastAsia="zh-CN"/>
        </w:rPr>
        <w:t xml:space="preserve">    </w:t>
      </w:r>
    </w:p>
    <w:p w14:paraId="42DCF92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val="en-US" w:eastAsia="zh-CN"/>
        </w:rPr>
        <w:t>十</w:t>
      </w:r>
      <w:r>
        <w:rPr>
          <w:rStyle w:val="14"/>
          <w:rFonts w:hint="eastAsia" w:ascii="方正仿宋_GB2312" w:hAnsi="方正仿宋_GB2312" w:eastAsia="方正仿宋_GB2312" w:cs="方正仿宋_GB2312"/>
          <w:color w:val="auto"/>
          <w:sz w:val="28"/>
          <w:szCs w:val="28"/>
          <w:highlight w:val="none"/>
        </w:rPr>
        <w:t>、定标原则及办法</w:t>
      </w:r>
    </w:p>
    <w:p w14:paraId="4120E4E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1、评标活动遵循公平、公正、科学和择优的原则。</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小组将按照规定对各供应商的响应文件采用相同的程序和标准进行评价和比较，对通过资格及符合性检查的合格供应商进行</w:t>
      </w:r>
      <w:r>
        <w:rPr>
          <w:rFonts w:hint="eastAsia" w:ascii="方正仿宋_GB2312" w:hAnsi="方正仿宋_GB2312" w:eastAsia="方正仿宋_GB2312" w:cs="方正仿宋_GB2312"/>
          <w:color w:val="auto"/>
          <w:sz w:val="28"/>
          <w:szCs w:val="28"/>
          <w:highlight w:val="none"/>
          <w:lang w:val="en-US" w:eastAsia="zh-CN"/>
        </w:rPr>
        <w:t>综合</w:t>
      </w:r>
      <w:r>
        <w:rPr>
          <w:rFonts w:hint="eastAsia" w:ascii="方正仿宋_GB2312" w:hAnsi="方正仿宋_GB2312" w:eastAsia="方正仿宋_GB2312" w:cs="方正仿宋_GB2312"/>
          <w:color w:val="auto"/>
          <w:sz w:val="28"/>
          <w:szCs w:val="28"/>
          <w:highlight w:val="none"/>
        </w:rPr>
        <w:t>评估，评议过程严格按照</w:t>
      </w:r>
      <w:r>
        <w:rPr>
          <w:rFonts w:hint="eastAsia" w:ascii="方正仿宋_GB2312" w:hAnsi="方正仿宋_GB2312" w:eastAsia="方正仿宋_GB2312" w:cs="方正仿宋_GB2312"/>
          <w:color w:val="auto"/>
          <w:sz w:val="28"/>
          <w:szCs w:val="28"/>
          <w:highlight w:val="none"/>
          <w:lang w:val="en-US" w:eastAsia="zh-CN"/>
        </w:rPr>
        <w:t>谈判</w:t>
      </w:r>
      <w:r>
        <w:rPr>
          <w:rFonts w:hint="eastAsia" w:ascii="方正仿宋_GB2312" w:hAnsi="方正仿宋_GB2312" w:eastAsia="方正仿宋_GB2312" w:cs="方正仿宋_GB2312"/>
          <w:color w:val="auto"/>
          <w:sz w:val="28"/>
          <w:szCs w:val="28"/>
          <w:highlight w:val="none"/>
        </w:rPr>
        <w:t>文件的要求和条件进行。本项目采用最低评标价法。。</w:t>
      </w:r>
    </w:p>
    <w:p w14:paraId="5EF279C4">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2、谈判小组将根据本谈判文件各项要求综合评估，推荐出符合采购要求、符合项目质量和服务要求且报价由</w:t>
      </w:r>
      <w:r>
        <w:rPr>
          <w:rFonts w:hint="eastAsia" w:ascii="方正仿宋_GB2312" w:hAnsi="方正仿宋_GB2312" w:eastAsia="方正仿宋_GB2312" w:cs="方正仿宋_GB2312"/>
          <w:color w:val="auto"/>
          <w:sz w:val="28"/>
          <w:szCs w:val="28"/>
          <w:highlight w:val="none"/>
          <w:lang w:val="en-US" w:eastAsia="zh-CN"/>
        </w:rPr>
        <w:t>低</w:t>
      </w:r>
      <w:r>
        <w:rPr>
          <w:rFonts w:hint="eastAsia" w:ascii="方正仿宋_GB2312" w:hAnsi="方正仿宋_GB2312" w:eastAsia="方正仿宋_GB2312" w:cs="方正仿宋_GB2312"/>
          <w:color w:val="auto"/>
          <w:sz w:val="28"/>
          <w:szCs w:val="28"/>
          <w:highlight w:val="none"/>
        </w:rPr>
        <w:t>到</w:t>
      </w:r>
      <w:r>
        <w:rPr>
          <w:rFonts w:hint="eastAsia" w:ascii="方正仿宋_GB2312" w:hAnsi="方正仿宋_GB2312" w:eastAsia="方正仿宋_GB2312" w:cs="方正仿宋_GB2312"/>
          <w:color w:val="auto"/>
          <w:sz w:val="28"/>
          <w:szCs w:val="28"/>
          <w:highlight w:val="none"/>
          <w:lang w:val="en-US" w:eastAsia="zh-CN"/>
        </w:rPr>
        <w:t>高</w:t>
      </w:r>
      <w:r>
        <w:rPr>
          <w:rFonts w:hint="eastAsia" w:ascii="方正仿宋_GB2312" w:hAnsi="方正仿宋_GB2312" w:eastAsia="方正仿宋_GB2312" w:cs="方正仿宋_GB2312"/>
          <w:color w:val="auto"/>
          <w:sz w:val="28"/>
          <w:szCs w:val="28"/>
          <w:highlight w:val="none"/>
        </w:rPr>
        <w:t>前三名为本合同包成交候选人（若属于《政府采购非招标采购方式管理办法》</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福建省财政厅关于政府采购执行过程中有关规定的通知</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eastAsia="zh-CN"/>
        </w:rPr>
        <w:t>（闽财购〔2016〕67号）</w:t>
      </w:r>
      <w:r>
        <w:rPr>
          <w:rFonts w:hint="eastAsia" w:ascii="方正仿宋_GB2312" w:hAnsi="方正仿宋_GB2312" w:eastAsia="方正仿宋_GB2312" w:cs="方正仿宋_GB2312"/>
          <w:color w:val="auto"/>
          <w:sz w:val="28"/>
          <w:szCs w:val="28"/>
          <w:highlight w:val="none"/>
        </w:rPr>
        <w:t>等相关法律法规及财政部门颁布的规范性文件允许的两家供应商进行竞争性谈判采购情形，本次采购项目仍可以继续进行，推荐前两名为本合同包的成交候选人），确定出符合采购要求、符合项目质量和服务要求且报价最</w:t>
      </w:r>
      <w:r>
        <w:rPr>
          <w:rFonts w:hint="eastAsia" w:ascii="方正仿宋_GB2312" w:hAnsi="方正仿宋_GB2312" w:eastAsia="方正仿宋_GB2312" w:cs="方正仿宋_GB2312"/>
          <w:color w:val="auto"/>
          <w:sz w:val="28"/>
          <w:szCs w:val="28"/>
          <w:highlight w:val="none"/>
          <w:lang w:eastAsia="zh-CN"/>
        </w:rPr>
        <w:t>低</w:t>
      </w:r>
      <w:r>
        <w:rPr>
          <w:rFonts w:hint="eastAsia" w:ascii="方正仿宋_GB2312" w:hAnsi="方正仿宋_GB2312" w:eastAsia="方正仿宋_GB2312" w:cs="方正仿宋_GB2312"/>
          <w:color w:val="auto"/>
          <w:sz w:val="28"/>
          <w:szCs w:val="28"/>
          <w:highlight w:val="none"/>
        </w:rPr>
        <w:t>者为本项目成交人（若出现报价相同的情况，则由谈判小组按随机抽取方式确定最终成交候选人）。</w:t>
      </w:r>
    </w:p>
    <w:p w14:paraId="6D6DBD4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3、响应文件无效条款（不满足即为无效响应的实质性条款）及废标条款：具体内容详见竞争性谈判文件各章节，请各供应商认真查看对照。</w:t>
      </w:r>
    </w:p>
    <w:p w14:paraId="49F49A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3.1、供应商若出现下列情形之一的，响应文件也将被视为未实质性响应谈判文件要求，按照无效报价处理：</w:t>
      </w:r>
    </w:p>
    <w:p w14:paraId="62AA8E7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(1)未符合谈判文件规定资格标准“供应商资格要求及审查办法”的按照无效响应处理；</w:t>
      </w:r>
    </w:p>
    <w:p w14:paraId="3016B6C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(2)未符合《服务（货物）一览表》及“采购内容及要求”中的技术要求的按照无效响应处理；</w:t>
      </w:r>
    </w:p>
    <w:p w14:paraId="6684366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(3)响应文件未按照谈判文件要求的规定进行密封、标记的；</w:t>
      </w:r>
    </w:p>
    <w:p w14:paraId="57482986">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(4)未按规定由供应商的法定代表人或其授权代表签字，或未加盖供应商公章的；或签字人未经法定代表人有效授权委托的；</w:t>
      </w:r>
    </w:p>
    <w:p w14:paraId="72CF89E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(5)一个供应商不止投一个标；</w:t>
      </w:r>
    </w:p>
    <w:p w14:paraId="6ADC0ED2">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(6)供应商提交的是可选择的报价；</w:t>
      </w:r>
    </w:p>
    <w:p w14:paraId="57A1A2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(7)响应文件组成不符合谈判文件要求的；</w:t>
      </w:r>
    </w:p>
    <w:p w14:paraId="4B4EB5D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(8)响应文件中提供虚假或失实资料的；</w:t>
      </w:r>
    </w:p>
    <w:p w14:paraId="0BAC22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(9)未按规定签字、提交封面盖公章，并加盖骑缝章且每页盖公章(非报价专用章或业务章)的；</w:t>
      </w:r>
    </w:p>
    <w:p w14:paraId="2E91582B">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(10)供应商名称或组织结构与资格性审查时不一致且未提供有效证明的；</w:t>
      </w:r>
    </w:p>
    <w:p w14:paraId="2E6A9D8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(11)响应文件附有采购人不能接受的条件；</w:t>
      </w:r>
    </w:p>
    <w:p w14:paraId="4DFD8E1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(12)不符合谈判文件中规定的实质性要求和条件、实质性条款、无效报价条款的。</w:t>
      </w:r>
    </w:p>
    <w:p w14:paraId="0276D508">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3.2、出现下列情形之一的，按废标处理：</w:t>
      </w:r>
    </w:p>
    <w:p w14:paraId="5F0B5A39">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①符合专业条件的供应商或者对谈判文件作实质响应的供应商不足</w:t>
      </w:r>
      <w:r>
        <w:rPr>
          <w:rFonts w:hint="eastAsia" w:ascii="方正仿宋_GB2312" w:hAnsi="方正仿宋_GB2312" w:eastAsia="方正仿宋_GB2312" w:cs="方正仿宋_GB2312"/>
          <w:color w:val="auto"/>
          <w:sz w:val="28"/>
          <w:szCs w:val="28"/>
          <w:highlight w:val="none"/>
          <w:lang w:eastAsia="zh-CN"/>
        </w:rPr>
        <w:t>三</w:t>
      </w:r>
      <w:r>
        <w:rPr>
          <w:rFonts w:hint="eastAsia" w:ascii="方正仿宋_GB2312" w:hAnsi="方正仿宋_GB2312" w:eastAsia="方正仿宋_GB2312" w:cs="方正仿宋_GB2312"/>
          <w:color w:val="auto"/>
          <w:sz w:val="28"/>
          <w:szCs w:val="28"/>
          <w:highlight w:val="none"/>
        </w:rPr>
        <w:t>家的；</w:t>
      </w:r>
    </w:p>
    <w:p w14:paraId="58FD15B7">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②出现影响采购公正的违法、违规行为的；</w:t>
      </w:r>
    </w:p>
    <w:p w14:paraId="258BF88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③供应商的报价</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于最</w:t>
      </w:r>
      <w:r>
        <w:rPr>
          <w:rFonts w:hint="eastAsia" w:ascii="方正仿宋_GB2312" w:hAnsi="方正仿宋_GB2312" w:eastAsia="方正仿宋_GB2312" w:cs="方正仿宋_GB2312"/>
          <w:color w:val="auto"/>
          <w:sz w:val="28"/>
          <w:szCs w:val="28"/>
          <w:highlight w:val="none"/>
          <w:lang w:eastAsia="zh-CN"/>
        </w:rPr>
        <w:t>高</w:t>
      </w:r>
      <w:r>
        <w:rPr>
          <w:rFonts w:hint="eastAsia" w:ascii="方正仿宋_GB2312" w:hAnsi="方正仿宋_GB2312" w:eastAsia="方正仿宋_GB2312" w:cs="方正仿宋_GB2312"/>
          <w:color w:val="auto"/>
          <w:sz w:val="28"/>
          <w:szCs w:val="28"/>
          <w:highlight w:val="none"/>
        </w:rPr>
        <w:t>限价的；</w:t>
      </w:r>
    </w:p>
    <w:p w14:paraId="62D27CEA">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④因重大变故，采购任务取消的。</w:t>
      </w:r>
    </w:p>
    <w:p w14:paraId="024B23AF">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4、供应商之间有相互串通投标、弄虚作假等违规行为者，将作废标处理，并在我院未来的项目</w:t>
      </w: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中被拒绝接受投标。</w:t>
      </w:r>
    </w:p>
    <w:p w14:paraId="5471AED3">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rPr>
          <w:rFonts w:hint="eastAsia" w:ascii="方正仿宋_GB2312" w:hAnsi="方正仿宋_GB2312" w:eastAsia="方正仿宋_GB2312" w:cs="方正仿宋_GB2312"/>
          <w:color w:val="auto"/>
          <w:sz w:val="28"/>
          <w:szCs w:val="28"/>
          <w:highlight w:val="none"/>
        </w:rPr>
      </w:pPr>
      <w:r>
        <w:rPr>
          <w:rStyle w:val="14"/>
          <w:rFonts w:hint="eastAsia" w:ascii="方正仿宋_GB2312" w:hAnsi="方正仿宋_GB2312" w:eastAsia="方正仿宋_GB2312" w:cs="方正仿宋_GB2312"/>
          <w:color w:val="auto"/>
          <w:sz w:val="28"/>
          <w:szCs w:val="28"/>
          <w:highlight w:val="none"/>
          <w:lang w:eastAsia="zh-CN"/>
        </w:rPr>
        <w:t>十</w:t>
      </w:r>
      <w:r>
        <w:rPr>
          <w:rStyle w:val="14"/>
          <w:rFonts w:hint="eastAsia" w:ascii="方正仿宋_GB2312" w:hAnsi="方正仿宋_GB2312" w:eastAsia="方正仿宋_GB2312" w:cs="方正仿宋_GB2312"/>
          <w:color w:val="auto"/>
          <w:sz w:val="28"/>
          <w:szCs w:val="28"/>
          <w:highlight w:val="none"/>
          <w:lang w:val="en-US" w:eastAsia="zh-CN"/>
        </w:rPr>
        <w:t>一</w:t>
      </w:r>
      <w:r>
        <w:rPr>
          <w:rStyle w:val="14"/>
          <w:rFonts w:hint="eastAsia" w:ascii="方正仿宋_GB2312" w:hAnsi="方正仿宋_GB2312" w:eastAsia="方正仿宋_GB2312" w:cs="方正仿宋_GB2312"/>
          <w:color w:val="auto"/>
          <w:sz w:val="28"/>
          <w:szCs w:val="28"/>
          <w:highlight w:val="none"/>
        </w:rPr>
        <w:t>、合同条款内容及签订</w:t>
      </w:r>
    </w:p>
    <w:p w14:paraId="39781CCE">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1、合同签订：成交人在接到成交通知后3天内，应派代表与</w:t>
      </w: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联系，商讨签订合同事宜。</w:t>
      </w:r>
    </w:p>
    <w:p w14:paraId="081105E5">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firstLine="560" w:firstLineChars="200"/>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、合同签订地点：</w:t>
      </w:r>
      <w:r>
        <w:rPr>
          <w:rFonts w:hint="eastAsia" w:ascii="方正仿宋_GB2312" w:hAnsi="方正仿宋_GB2312" w:eastAsia="方正仿宋_GB2312" w:cs="方正仿宋_GB2312"/>
          <w:color w:val="auto"/>
          <w:sz w:val="28"/>
          <w:szCs w:val="28"/>
          <w:highlight w:val="none"/>
          <w:lang w:eastAsia="zh-CN"/>
        </w:rPr>
        <w:t>福州</w:t>
      </w:r>
    </w:p>
    <w:sectPr>
      <w:footerReference r:id="rId3" w:type="default"/>
      <w:pgSz w:w="11906" w:h="16838"/>
      <w:pgMar w:top="1814" w:right="1587" w:bottom="1701" w:left="1587" w:header="851" w:footer="992" w:gutter="0"/>
      <w:lnNumType w:countBy="0"/>
      <w:pgNumType w:start="1"/>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B086601-0A56-45F5-9B5F-72EFE27C9FF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D6E02BF-A0F3-48C7-9B4D-103155C04A6F}"/>
  </w:font>
  <w:font w:name="Arial Unicode MS">
    <w:altName w:val="Arial"/>
    <w:panose1 w:val="020B0604020202020204"/>
    <w:charset w:val="00"/>
    <w:family w:val="swiss"/>
    <w:pitch w:val="default"/>
    <w:sig w:usb0="00000000" w:usb1="00000000" w:usb2="0000003F" w:usb3="00000000" w:csb0="003F01FF" w:csb1="00000000"/>
  </w:font>
  <w:font w:name="方正小标宋简体">
    <w:panose1 w:val="02010600010101010101"/>
    <w:charset w:val="86"/>
    <w:family w:val="auto"/>
    <w:pitch w:val="default"/>
    <w:sig w:usb0="00000001" w:usb1="080E0000" w:usb2="00000000" w:usb3="00000000" w:csb0="00040000" w:csb1="00000000"/>
    <w:embedRegular r:id="rId3" w:fontKey="{CEEEABE9-AA00-4D1B-AB73-7454C155284C}"/>
  </w:font>
  <w:font w:name="方正仿宋_GB2312">
    <w:panose1 w:val="02000000000000000000"/>
    <w:charset w:val="86"/>
    <w:family w:val="auto"/>
    <w:pitch w:val="default"/>
    <w:sig w:usb0="A00002BF" w:usb1="184F6CFA" w:usb2="00000012" w:usb3="00000000" w:csb0="00040001" w:csb1="00000000"/>
    <w:embedRegular r:id="rId4" w:fontKey="{9173F969-2584-416F-A99C-0DF84C49F0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6F82">
    <w:pPr>
      <w:pStyle w:val="8"/>
      <w:widowControl/>
      <w:snapToGrid w:val="0"/>
      <w:jc w:val="left"/>
      <w:textAlignment w:val="baseline"/>
      <w:rPr>
        <w:rStyle w:val="18"/>
        <w:rFonts w:ascii="Calibri" w:hAnsi="Calibri" w:eastAsia="宋体"/>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F44B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3F44B1">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Style w:val="18"/>
        <w:rFonts w:ascii="Calibri" w:hAnsi="Calibri" w:eastAsia="宋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BAA31">
                          <w:pPr>
                            <w:pStyle w:val="8"/>
                            <w:widowControl/>
                            <w:snapToGrid w:val="0"/>
                            <w:jc w:val="left"/>
                            <w:textAlignment w:val="baseline"/>
                            <w:rPr>
                              <w:rStyle w:val="18"/>
                              <w:rFonts w:ascii="仿宋_GB2312" w:hAnsi="仿宋_GB2312" w:eastAsia="仿宋_GB2312"/>
                              <w:kern w:val="2"/>
                              <w:sz w:val="32"/>
                              <w:szCs w:val="32"/>
                              <w:lang w:val="en-US" w:eastAsia="zh-CN" w:bidi="ar-SA"/>
                            </w:rPr>
                          </w:pPr>
                        </w:p>
                        <w:p w14:paraId="16116A61">
                          <w:pPr>
                            <w:autoSpaceDE/>
                            <w:autoSpaceDN/>
                            <w:spacing w:before="0" w:after="0" w:line="570" w:lineRule="exact"/>
                            <w:textAlignment w:val="baseline"/>
                            <w:rPr>
                              <w:rStyle w:val="18"/>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pPZA0gAAAAUBAAAPAAAAAAAAAAEAIAAAACIAAABkcnMvZG93bnJldi54bWxQSwECFAAUAAAACACH&#10;TuJAPtL/TrgBAAB2AwAADgAAAAAAAAABACAAAAAhAQAAZHJzL2Uyb0RvYy54bWxQSwUGAAAAAAYA&#10;BgBZAQAASwUAAAAA&#10;">
              <v:fill on="f" focussize="0,0"/>
              <v:stroke on="f"/>
              <v:imagedata o:title=""/>
              <o:lock v:ext="edit" aspectratio="f"/>
              <v:textbox inset="0mm,0mm,0mm,0mm">
                <w:txbxContent>
                  <w:p w14:paraId="09CBAA31">
                    <w:pPr>
                      <w:pStyle w:val="8"/>
                      <w:widowControl/>
                      <w:snapToGrid w:val="0"/>
                      <w:jc w:val="left"/>
                      <w:textAlignment w:val="baseline"/>
                      <w:rPr>
                        <w:rStyle w:val="18"/>
                        <w:rFonts w:ascii="仿宋_GB2312" w:hAnsi="仿宋_GB2312" w:eastAsia="仿宋_GB2312"/>
                        <w:kern w:val="2"/>
                        <w:sz w:val="32"/>
                        <w:szCs w:val="32"/>
                        <w:lang w:val="en-US" w:eastAsia="zh-CN" w:bidi="ar-SA"/>
                      </w:rPr>
                    </w:pPr>
                  </w:p>
                  <w:p w14:paraId="16116A61">
                    <w:pPr>
                      <w:autoSpaceDE/>
                      <w:autoSpaceDN/>
                      <w:spacing w:before="0" w:after="0" w:line="570" w:lineRule="exact"/>
                      <w:textAlignment w:val="baseline"/>
                      <w:rPr>
                        <w:rStyle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2387"/>
    <w:multiLevelType w:val="singleLevel"/>
    <w:tmpl w:val="8CA02387"/>
    <w:lvl w:ilvl="0" w:tentative="0">
      <w:start w:val="3"/>
      <w:numFmt w:val="decimal"/>
      <w:suff w:val="nothing"/>
      <w:lvlText w:val="%1、"/>
      <w:lvlJc w:val="left"/>
    </w:lvl>
  </w:abstractNum>
  <w:abstractNum w:abstractNumId="1">
    <w:nsid w:val="9CB470E0"/>
    <w:multiLevelType w:val="singleLevel"/>
    <w:tmpl w:val="9CB470E0"/>
    <w:lvl w:ilvl="0" w:tentative="0">
      <w:start w:val="6"/>
      <w:numFmt w:val="decimal"/>
      <w:lvlText w:val="%1."/>
      <w:lvlJc w:val="left"/>
      <w:pPr>
        <w:tabs>
          <w:tab w:val="left" w:pos="312"/>
        </w:tabs>
      </w:pPr>
    </w:lvl>
  </w:abstractNum>
  <w:abstractNum w:abstractNumId="2">
    <w:nsid w:val="2DB22549"/>
    <w:multiLevelType w:val="singleLevel"/>
    <w:tmpl w:val="2DB22549"/>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YTc5ZmIyZmU2YzUwNjUzYjY4M2M2MmFlNzcyODIifQ=="/>
  </w:docVars>
  <w:rsids>
    <w:rsidRoot w:val="6A1967F4"/>
    <w:rsid w:val="02D57060"/>
    <w:rsid w:val="0456200F"/>
    <w:rsid w:val="04652B27"/>
    <w:rsid w:val="049B2F06"/>
    <w:rsid w:val="06EC6EEE"/>
    <w:rsid w:val="076B5857"/>
    <w:rsid w:val="07907EFE"/>
    <w:rsid w:val="07A80859"/>
    <w:rsid w:val="08B71858"/>
    <w:rsid w:val="098E52A0"/>
    <w:rsid w:val="0A6A0048"/>
    <w:rsid w:val="0C1C223F"/>
    <w:rsid w:val="0E2C4469"/>
    <w:rsid w:val="0E903DF5"/>
    <w:rsid w:val="10B64F82"/>
    <w:rsid w:val="110B3F03"/>
    <w:rsid w:val="124754CB"/>
    <w:rsid w:val="13876815"/>
    <w:rsid w:val="16A1506E"/>
    <w:rsid w:val="174C1201"/>
    <w:rsid w:val="18047D2E"/>
    <w:rsid w:val="187327BD"/>
    <w:rsid w:val="1C187979"/>
    <w:rsid w:val="1CBE7BEF"/>
    <w:rsid w:val="1FE950B6"/>
    <w:rsid w:val="20241715"/>
    <w:rsid w:val="20DC33DB"/>
    <w:rsid w:val="22F40F6B"/>
    <w:rsid w:val="24931896"/>
    <w:rsid w:val="24CC572F"/>
    <w:rsid w:val="263230B7"/>
    <w:rsid w:val="267F7CFE"/>
    <w:rsid w:val="278E3F9C"/>
    <w:rsid w:val="27EE2107"/>
    <w:rsid w:val="27F30734"/>
    <w:rsid w:val="2B25034B"/>
    <w:rsid w:val="2D1353CD"/>
    <w:rsid w:val="2E1B14D5"/>
    <w:rsid w:val="2E204D3E"/>
    <w:rsid w:val="2E826880"/>
    <w:rsid w:val="30EE0170"/>
    <w:rsid w:val="31185E33"/>
    <w:rsid w:val="31B475C5"/>
    <w:rsid w:val="32A0644D"/>
    <w:rsid w:val="32C445E1"/>
    <w:rsid w:val="340842AA"/>
    <w:rsid w:val="340F06E9"/>
    <w:rsid w:val="36265E90"/>
    <w:rsid w:val="36DF7544"/>
    <w:rsid w:val="39106D2F"/>
    <w:rsid w:val="39CB2002"/>
    <w:rsid w:val="3A914FF9"/>
    <w:rsid w:val="3B3135D0"/>
    <w:rsid w:val="3BFA40BE"/>
    <w:rsid w:val="3CD33A6F"/>
    <w:rsid w:val="3D906EBC"/>
    <w:rsid w:val="3D986541"/>
    <w:rsid w:val="3EE35FD4"/>
    <w:rsid w:val="45AE54CB"/>
    <w:rsid w:val="48403BBB"/>
    <w:rsid w:val="49115F3E"/>
    <w:rsid w:val="492142DA"/>
    <w:rsid w:val="4D0354AC"/>
    <w:rsid w:val="4D115206"/>
    <w:rsid w:val="4D7B21B1"/>
    <w:rsid w:val="4E681CBD"/>
    <w:rsid w:val="4F9251CB"/>
    <w:rsid w:val="50251647"/>
    <w:rsid w:val="51066946"/>
    <w:rsid w:val="51850890"/>
    <w:rsid w:val="51D8535D"/>
    <w:rsid w:val="52944000"/>
    <w:rsid w:val="532145E9"/>
    <w:rsid w:val="53DE53F7"/>
    <w:rsid w:val="54907C78"/>
    <w:rsid w:val="54A159E1"/>
    <w:rsid w:val="58317A7F"/>
    <w:rsid w:val="583628E4"/>
    <w:rsid w:val="584E7C2E"/>
    <w:rsid w:val="5A92249C"/>
    <w:rsid w:val="5C7165E1"/>
    <w:rsid w:val="5D027D19"/>
    <w:rsid w:val="5D8261C9"/>
    <w:rsid w:val="5DEF56D6"/>
    <w:rsid w:val="5E0C65C1"/>
    <w:rsid w:val="5E5759AC"/>
    <w:rsid w:val="5EFC6636"/>
    <w:rsid w:val="5FA41C3A"/>
    <w:rsid w:val="5FFA69D9"/>
    <w:rsid w:val="602F6597"/>
    <w:rsid w:val="624B5C98"/>
    <w:rsid w:val="632F034D"/>
    <w:rsid w:val="63494BBA"/>
    <w:rsid w:val="635841DC"/>
    <w:rsid w:val="664A1589"/>
    <w:rsid w:val="6856486A"/>
    <w:rsid w:val="68A658A4"/>
    <w:rsid w:val="68C36121"/>
    <w:rsid w:val="699F653B"/>
    <w:rsid w:val="6A1967F4"/>
    <w:rsid w:val="6A564261"/>
    <w:rsid w:val="6A615EE7"/>
    <w:rsid w:val="6A900D9B"/>
    <w:rsid w:val="6AB56043"/>
    <w:rsid w:val="6D2F6881"/>
    <w:rsid w:val="6DCB4621"/>
    <w:rsid w:val="6ED150AB"/>
    <w:rsid w:val="6F923C98"/>
    <w:rsid w:val="6FC54F8E"/>
    <w:rsid w:val="72B234CC"/>
    <w:rsid w:val="72C11107"/>
    <w:rsid w:val="742F667C"/>
    <w:rsid w:val="749C3698"/>
    <w:rsid w:val="7516167C"/>
    <w:rsid w:val="75735BAE"/>
    <w:rsid w:val="78494CB3"/>
    <w:rsid w:val="793D6FA0"/>
    <w:rsid w:val="79895C20"/>
    <w:rsid w:val="7CC95687"/>
    <w:rsid w:val="7D5E2BF7"/>
    <w:rsid w:val="7F9B5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Calibri" w:hAnsi="Calibri" w:eastAsia="宋体"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455"/>
    </w:pPr>
    <w:rPr>
      <w:rFonts w:ascii="宋体" w:hAnsi="宋体" w:eastAsia="宋体" w:cs="宋体"/>
      <w:sz w:val="24"/>
      <w:szCs w:val="24"/>
      <w:lang w:val="zh-CN" w:eastAsia="zh-CN" w:bidi="zh-CN"/>
    </w:rPr>
  </w:style>
  <w:style w:type="paragraph" w:styleId="5">
    <w:name w:val="Body Text 2"/>
    <w:basedOn w:val="1"/>
    <w:qFormat/>
    <w:uiPriority w:val="0"/>
    <w:pPr>
      <w:spacing w:after="120" w:line="480" w:lineRule="auto"/>
    </w:pPr>
    <w:rPr>
      <w:kern w:val="2"/>
      <w:sz w:val="21"/>
    </w:rPr>
  </w:style>
  <w:style w:type="paragraph" w:styleId="6">
    <w:name w:val="Body Text Indent"/>
    <w:basedOn w:val="1"/>
    <w:next w:val="7"/>
    <w:qFormat/>
    <w:uiPriority w:val="0"/>
    <w:pPr>
      <w:spacing w:after="120" w:afterLines="0"/>
      <w:ind w:left="420" w:leftChars="200"/>
    </w:pPr>
    <w:rPr>
      <w:rFonts w:ascii="宋体" w:hAnsi="宋体"/>
      <w:sz w:val="24"/>
    </w:rPr>
  </w:style>
  <w:style w:type="paragraph" w:styleId="7">
    <w:name w:val="Body Text First Indent 2"/>
    <w:basedOn w:val="6"/>
    <w:qFormat/>
    <w:uiPriority w:val="0"/>
    <w:pPr>
      <w:spacing w:after="120" w:afterLines="0" w:line="240" w:lineRule="auto"/>
      <w:ind w:left="420" w:leftChars="200" w:firstLine="420" w:firstLineChars="200"/>
    </w:pPr>
  </w:style>
  <w:style w:type="paragraph" w:styleId="8">
    <w:name w:val="footer"/>
    <w:basedOn w:val="1"/>
    <w:qFormat/>
    <w:uiPriority w:val="0"/>
    <w:pPr>
      <w:tabs>
        <w:tab w:val="center" w:pos="4153"/>
        <w:tab w:val="right" w:pos="8306"/>
      </w:tabs>
      <w:snapToGrid w:val="0"/>
      <w:jc w:val="left"/>
      <w:textAlignment w:val="baseline"/>
    </w:pPr>
    <w:rPr>
      <w:rFonts w:ascii="Calibri" w:hAnsi="Calibri" w:eastAsia="宋体"/>
      <w:kern w:val="2"/>
      <w:sz w:val="18"/>
      <w:szCs w:val="24"/>
      <w:lang w:val="en-US" w:eastAsia="zh-CN" w:bidi="ar-SA"/>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link w:val="1"/>
    <w:qFormat/>
    <w:uiPriority w:val="0"/>
    <w:rPr>
      <w:b/>
    </w:rPr>
  </w:style>
  <w:style w:type="character" w:styleId="15">
    <w:name w:val="Hyperlink"/>
    <w:basedOn w:val="13"/>
    <w:qFormat/>
    <w:uiPriority w:val="0"/>
    <w:rPr>
      <w:color w:val="0000FF"/>
      <w:u w:val="single"/>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NormalCharacter"/>
    <w:link w:val="1"/>
    <w:semiHidden/>
    <w:qFormat/>
    <w:uiPriority w:val="0"/>
    <w:rPr>
      <w:rFonts w:ascii="Calibri" w:hAnsi="Calibri" w:eastAsia="宋体" w:cstheme="minorBidi"/>
      <w:kern w:val="2"/>
      <w:sz w:val="21"/>
      <w:szCs w:val="24"/>
      <w:lang w:val="en-US" w:eastAsia="zh-CN" w:bidi="ar-SA"/>
    </w:rPr>
  </w:style>
  <w:style w:type="paragraph" w:customStyle="1" w:styleId="19">
    <w:name w:val="UserStyle_7"/>
    <w:qFormat/>
    <w:uiPriority w:val="0"/>
    <w:pPr>
      <w:widowControl/>
      <w:ind w:leftChars="0"/>
      <w:textAlignment w:val="baseline"/>
    </w:pPr>
    <w:rPr>
      <w:rFonts w:ascii="Calibri" w:hAnsi="Calibri" w:eastAsia="宋体" w:cstheme="minorBidi"/>
      <w:sz w:val="20"/>
      <w:szCs w:val="20"/>
      <w:lang w:val="en-US"/>
    </w:rPr>
  </w:style>
  <w:style w:type="paragraph" w:customStyle="1" w:styleId="20">
    <w:name w:val="BodyText"/>
    <w:basedOn w:val="1"/>
    <w:next w:val="21"/>
    <w:qFormat/>
    <w:uiPriority w:val="0"/>
    <w:pPr>
      <w:ind w:left="455"/>
      <w:jc w:val="both"/>
      <w:textAlignment w:val="baseline"/>
    </w:pPr>
    <w:rPr>
      <w:rFonts w:ascii="宋体" w:hAnsi="宋体" w:eastAsia="宋体"/>
      <w:kern w:val="2"/>
      <w:sz w:val="24"/>
      <w:szCs w:val="24"/>
      <w:lang w:val="zh-CN" w:eastAsia="zh-CN" w:bidi="zh-CN"/>
    </w:rPr>
  </w:style>
  <w:style w:type="paragraph" w:customStyle="1" w:styleId="21">
    <w:name w:val="BodyText2"/>
    <w:basedOn w:val="1"/>
    <w:qFormat/>
    <w:uiPriority w:val="0"/>
    <w:pPr>
      <w:spacing w:after="120" w:line="480" w:lineRule="auto"/>
      <w:jc w:val="both"/>
      <w:textAlignment w:val="baseline"/>
    </w:pPr>
    <w:rPr>
      <w:rFonts w:ascii="Calibri" w:hAnsi="Calibri" w:eastAsia="宋体"/>
      <w:kern w:val="2"/>
      <w:sz w:val="21"/>
      <w:szCs w:val="24"/>
      <w:lang w:val="en-US" w:eastAsia="zh-CN" w:bidi="ar-SA"/>
    </w:rPr>
  </w:style>
  <w:style w:type="paragraph" w:customStyle="1" w:styleId="22">
    <w:name w:val="HtmlNormal"/>
    <w:basedOn w:val="1"/>
    <w:next w:val="23"/>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23">
    <w:name w:val="UserStyle_1"/>
    <w:basedOn w:val="24"/>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0" w:after="0" w:line="400" w:lineRule="exact"/>
      <w:jc w:val="both"/>
      <w:textAlignment w:val="baseline"/>
    </w:pPr>
    <w:rPr>
      <w:rFonts w:ascii="Times New Roman" w:hAnsi="Times New Roman" w:eastAsia="黑体"/>
      <w:b w:val="0"/>
      <w:bCs w:val="0"/>
      <w:kern w:val="1"/>
      <w:sz w:val="24"/>
      <w:szCs w:val="24"/>
      <w:lang w:val="en-US" w:eastAsia="zh-CN" w:bidi="ar-SA"/>
    </w:rPr>
  </w:style>
  <w:style w:type="paragraph" w:customStyle="1" w:styleId="24">
    <w:name w:val="Heading3"/>
    <w:next w:val="1"/>
    <w:qFormat/>
    <w:uiPriority w:val="0"/>
    <w:pPr>
      <w:keepNext/>
      <w:keepLines/>
      <w:pBdr>
        <w:top w:val="none" w:color="000000" w:sz="0" w:space="3"/>
        <w:left w:val="none" w:color="000000" w:sz="0" w:space="3"/>
        <w:bottom w:val="none" w:color="000000" w:sz="0" w:space="3"/>
        <w:right w:val="none" w:color="000000" w:sz="0" w:space="3"/>
        <w:between w:val="none" w:color="000000" w:sz="0" w:space="0"/>
      </w:pBdr>
      <w:shd w:val="solid" w:color="000000" w:fill="000000"/>
      <w:spacing w:before="260" w:after="260" w:line="416" w:lineRule="atLeast"/>
      <w:jc w:val="both"/>
      <w:textAlignment w:val="baseline"/>
    </w:pPr>
    <w:rPr>
      <w:rFonts w:ascii="Times New Roman" w:hAnsi="Times New Roman" w:eastAsia="宋体" w:cs="Times New Roman"/>
      <w:b/>
      <w:bCs/>
      <w:kern w:val="1"/>
      <w:sz w:val="32"/>
      <w:szCs w:val="32"/>
      <w:lang w:val="en-US" w:eastAsia="zh-CN" w:bidi="ar-SA"/>
    </w:rPr>
  </w:style>
  <w:style w:type="character" w:customStyle="1" w:styleId="25">
    <w:name w:val="UserStyle_2"/>
    <w:basedOn w:val="18"/>
    <w:link w:val="1"/>
    <w:qFormat/>
    <w:uiPriority w:val="0"/>
    <w:rPr>
      <w:rFonts w:ascii="仿宋_GB2312" w:eastAsia="仿宋_GB2312"/>
      <w:color w:val="000000"/>
      <w:sz w:val="20"/>
      <w:szCs w:val="20"/>
    </w:rPr>
  </w:style>
  <w:style w:type="paragraph" w:customStyle="1" w:styleId="26">
    <w:name w:val="null3"/>
    <w:qFormat/>
    <w:uiPriority w:val="0"/>
    <w:rPr>
      <w:rFonts w:hint="eastAsia" w:ascii="Calibri" w:hAnsi="Calibri" w:eastAsia="宋体" w:cs="Times New Roman"/>
      <w:lang w:val="en-US" w:eastAsia="zh-CN" w:bidi="ar-SA"/>
    </w:rPr>
  </w:style>
  <w:style w:type="paragraph" w:customStyle="1" w:styleId="27">
    <w:name w:val="正文 A"/>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8">
    <w:name w:val="列出段落1"/>
    <w:basedOn w:val="1"/>
    <w:autoRedefine/>
    <w:qFormat/>
    <w:uiPriority w:val="34"/>
    <w:pPr>
      <w:spacing w:line="450" w:lineRule="atLeast"/>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7413</Words>
  <Characters>7868</Characters>
  <Lines>0</Lines>
  <Paragraphs>0</Paragraphs>
  <TotalTime>26</TotalTime>
  <ScaleCrop>false</ScaleCrop>
  <LinksUpToDate>false</LinksUpToDate>
  <CharactersWithSpaces>7910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2023-11-20T01:20:00Z</dcterms:created>
  <dc:creator>Scrat丶</dc:creator>
  <cp:lastModifiedBy>天津饭</cp:lastModifiedBy>
  <cp:lastPrinted>2025-10-11T05:30:00Z</cp:lastPrinted>
  <dcterms:modified xsi:type="dcterms:W3CDTF">2025-10-13T06:32:36Z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0BA41E3522644B079E868FB9F6E97123_13</vt:lpwstr>
  </property>
  <property fmtid="{D5CDD505-2E9C-101B-9397-08002B2CF9AE}" pid="4" name="KSOTemplateDocerSaveRecord">
    <vt:lpwstr>eyJoZGlkIjoiNjBhY2Q1M2U5MjFlNzFkYTYwZmU5ZDI5MDYwMTA3NWUiLCJ1c2VySWQiOiIyNzI4MDk1MzYifQ==</vt:lpwstr>
  </property>
</Properties>
</file>