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91A0">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福建省级机关医院门户网站信创改造服务项目</w:t>
      </w:r>
    </w:p>
    <w:p w14:paraId="1695D537">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68A2A897">
      <w:pPr>
        <w:pStyle w:val="17"/>
        <w:keepNext w:val="0"/>
        <w:keepLines w:val="0"/>
        <w:pageBreakBefore w:val="0"/>
        <w:kinsoku/>
        <w:wordWrap/>
        <w:topLinePunct w:val="0"/>
        <w:bidi w:val="0"/>
        <w:snapToGrid/>
        <w:spacing w:line="320" w:lineRule="exact"/>
        <w:rPr>
          <w:rFonts w:hint="eastAsia"/>
          <w:lang w:eastAsia="zh-CN"/>
        </w:rPr>
      </w:pPr>
    </w:p>
    <w:p w14:paraId="0EA14691">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6AF5A67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00E6BE8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项目名称：福建省级机关医院门户网站信创改造服务</w:t>
      </w:r>
      <w:r>
        <w:rPr>
          <w:rFonts w:hint="eastAsia" w:ascii="方正仿宋_GB2312" w:hAnsi="方正仿宋_GB2312" w:eastAsia="方正仿宋_GB2312" w:cs="方正仿宋_GB2312"/>
          <w:color w:val="auto"/>
          <w:sz w:val="28"/>
          <w:szCs w:val="28"/>
          <w:highlight w:val="none"/>
          <w:lang w:val="en-US" w:eastAsia="zh-CN"/>
        </w:rPr>
        <w:t>项目</w:t>
      </w:r>
    </w:p>
    <w:p w14:paraId="6B57B3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FJSJJGYY-XXK-2025-09（</w:t>
      </w:r>
      <w:r>
        <w:rPr>
          <w:rFonts w:hint="eastAsia" w:ascii="仿宋" w:hAnsi="仿宋" w:eastAsia="仿宋" w:cs="仿宋"/>
          <w:sz w:val="28"/>
          <w:szCs w:val="28"/>
          <w:lang w:val="en-US" w:eastAsia="zh-CN"/>
        </w:rPr>
        <w:t>MHWZXCGZ</w:t>
      </w:r>
      <w:r>
        <w:rPr>
          <w:rFonts w:hint="eastAsia" w:ascii="方正仿宋_GB2312" w:hAnsi="方正仿宋_GB2312" w:eastAsia="方正仿宋_GB2312" w:cs="方正仿宋_GB2312"/>
          <w:color w:val="auto"/>
          <w:sz w:val="28"/>
          <w:szCs w:val="28"/>
          <w:highlight w:val="none"/>
          <w:lang w:val="en-US" w:eastAsia="zh-CN"/>
        </w:rPr>
        <w:t>）</w:t>
      </w:r>
    </w:p>
    <w:p w14:paraId="5A3106B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2847E95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50000.00</w:t>
      </w:r>
      <w:r>
        <w:rPr>
          <w:rFonts w:hint="eastAsia" w:ascii="方正仿宋_GB2312" w:hAnsi="方正仿宋_GB2312" w:eastAsia="方正仿宋_GB2312" w:cs="方正仿宋_GB2312"/>
          <w:color w:val="auto"/>
          <w:sz w:val="28"/>
          <w:szCs w:val="28"/>
          <w:highlight w:val="none"/>
        </w:rPr>
        <w:t>元</w:t>
      </w:r>
    </w:p>
    <w:p w14:paraId="66F0D4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5、工期：</w:t>
      </w:r>
      <w:r>
        <w:rPr>
          <w:rStyle w:val="14"/>
          <w:rFonts w:hint="eastAsia" w:ascii="仿宋" w:hAnsi="仿宋" w:eastAsia="仿宋" w:cs="仿宋"/>
          <w:b w:val="0"/>
          <w:sz w:val="28"/>
          <w:szCs w:val="28"/>
        </w:rPr>
        <w:t>合同签订</w:t>
      </w:r>
      <w:r>
        <w:rPr>
          <w:rStyle w:val="14"/>
          <w:rFonts w:hint="eastAsia" w:ascii="仿宋" w:hAnsi="仿宋" w:eastAsia="仿宋" w:cs="仿宋"/>
          <w:b w:val="0"/>
          <w:sz w:val="28"/>
          <w:szCs w:val="28"/>
          <w:lang w:val="en-US" w:eastAsia="zh-CN"/>
        </w:rPr>
        <w:t>之日90天内完成项目安装、调试，并验收合格。</w:t>
      </w:r>
    </w:p>
    <w:p w14:paraId="511C11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
        <w:gridCol w:w="1046"/>
        <w:gridCol w:w="3576"/>
        <w:gridCol w:w="987"/>
        <w:gridCol w:w="1622"/>
        <w:gridCol w:w="1367"/>
      </w:tblGrid>
      <w:tr w14:paraId="5875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87" w:type="dxa"/>
            <w:shd w:val="clear" w:color="auto" w:fill="auto"/>
            <w:vAlign w:val="center"/>
          </w:tcPr>
          <w:p w14:paraId="31B34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046" w:type="dxa"/>
            <w:shd w:val="clear" w:color="auto" w:fill="auto"/>
            <w:vAlign w:val="center"/>
          </w:tcPr>
          <w:p w14:paraId="3CD0EE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3576" w:type="dxa"/>
            <w:shd w:val="clear" w:color="auto" w:fill="auto"/>
            <w:vAlign w:val="center"/>
          </w:tcPr>
          <w:p w14:paraId="13F75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987" w:type="dxa"/>
            <w:shd w:val="clear" w:color="auto" w:fill="auto"/>
            <w:vAlign w:val="center"/>
          </w:tcPr>
          <w:p w14:paraId="6E408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622" w:type="dxa"/>
            <w:shd w:val="clear" w:color="auto" w:fill="auto"/>
            <w:vAlign w:val="center"/>
          </w:tcPr>
          <w:p w14:paraId="3369C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367" w:type="dxa"/>
            <w:shd w:val="clear" w:color="auto" w:fill="auto"/>
            <w:vAlign w:val="center"/>
          </w:tcPr>
          <w:p w14:paraId="7ED03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206C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987" w:type="dxa"/>
            <w:shd w:val="clear" w:color="auto" w:fill="auto"/>
            <w:vAlign w:val="center"/>
          </w:tcPr>
          <w:p w14:paraId="75F5B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046" w:type="dxa"/>
            <w:shd w:val="clear" w:color="auto" w:fill="auto"/>
            <w:vAlign w:val="center"/>
          </w:tcPr>
          <w:p w14:paraId="0B0D3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3576" w:type="dxa"/>
            <w:shd w:val="clear" w:color="auto" w:fill="auto"/>
            <w:vAlign w:val="center"/>
          </w:tcPr>
          <w:p w14:paraId="668064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rPr>
              <w:t>门户网站信创改造服务</w:t>
            </w:r>
            <w:r>
              <w:rPr>
                <w:rFonts w:hint="eastAsia" w:ascii="方正仿宋_GB2312" w:hAnsi="方正仿宋_GB2312" w:eastAsia="方正仿宋_GB2312" w:cs="方正仿宋_GB2312"/>
                <w:color w:val="auto"/>
                <w:sz w:val="28"/>
                <w:szCs w:val="28"/>
                <w:highlight w:val="none"/>
                <w:lang w:val="en-US" w:eastAsia="zh-CN"/>
              </w:rPr>
              <w:t>项目</w:t>
            </w:r>
          </w:p>
        </w:tc>
        <w:tc>
          <w:tcPr>
            <w:tcW w:w="987" w:type="dxa"/>
            <w:shd w:val="clear" w:color="auto" w:fill="auto"/>
            <w:vAlign w:val="center"/>
          </w:tcPr>
          <w:p w14:paraId="27CAF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622" w:type="dxa"/>
            <w:shd w:val="clear" w:color="auto" w:fill="auto"/>
            <w:vAlign w:val="center"/>
          </w:tcPr>
          <w:p w14:paraId="0082E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50000.00</w:t>
            </w:r>
          </w:p>
        </w:tc>
        <w:tc>
          <w:tcPr>
            <w:tcW w:w="1367" w:type="dxa"/>
            <w:shd w:val="clear" w:color="auto" w:fill="auto"/>
            <w:vAlign w:val="center"/>
          </w:tcPr>
          <w:p w14:paraId="2FED6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2CC433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注：（1）本项目预算价人民币50000.00元为最高限价。供应商报价超过各单价限价和最高限价的为无效报价。供应商可依据市场行情和自身情况，自由竞价。</w:t>
      </w:r>
      <w:r>
        <w:rPr>
          <w:rFonts w:hint="eastAsia" w:ascii="仿宋" w:hAnsi="仿宋" w:eastAsia="仿宋" w:cs="仿宋"/>
          <w:sz w:val="28"/>
          <w:szCs w:val="28"/>
        </w:rPr>
        <w:t>本项目所发生的一切费用（如项目实施过程主辅材料费、人工费、劳保、税金、光纤及网络线路、第三方软件接入授权及第三方人员配合、验收费用、保修服务、与医院各信息系统的接口费等所有可能少报漏报的细目及采购文件的特别规定等一切费用）均包含在报价中。</w:t>
      </w:r>
    </w:p>
    <w:p w14:paraId="6164E5FA">
      <w:pPr>
        <w:keepNext w:val="0"/>
        <w:keepLines w:val="0"/>
        <w:pageBreakBefore w:val="0"/>
        <w:numPr>
          <w:ilvl w:val="0"/>
          <w:numId w:val="1"/>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成交人安装结束后应在规定的交付使用时间之前将废物移离现场，清理妥当，费用由成交人负责。</w:t>
      </w:r>
    </w:p>
    <w:p w14:paraId="56C43EC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仿宋" w:hAnsi="仿宋" w:eastAsia="仿宋" w:cs="仿宋"/>
          <w:sz w:val="28"/>
          <w:szCs w:val="28"/>
          <w:lang w:val="en-US" w:eastAsia="zh-CN"/>
        </w:rPr>
      </w:pP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w:t>
      </w:r>
      <w:r>
        <w:rPr>
          <w:rFonts w:hint="eastAsia" w:ascii="仿宋" w:hAnsi="仿宋" w:eastAsia="仿宋" w:cs="仿宋"/>
          <w:sz w:val="28"/>
          <w:szCs w:val="28"/>
          <w:lang w:val="en-US" w:eastAsia="zh-CN"/>
        </w:rPr>
        <w:t>最低评标价法。</w:t>
      </w:r>
    </w:p>
    <w:p w14:paraId="143BCA5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w:t>
      </w:r>
      <w:r>
        <w:rPr>
          <w:rStyle w:val="14"/>
          <w:rFonts w:hint="eastAsia" w:ascii="方正仿宋_GB2312" w:hAnsi="方正仿宋_GB2312" w:eastAsia="方正仿宋_GB2312" w:cs="方正仿宋_GB2312"/>
          <w:b/>
          <w:bCs w:val="0"/>
          <w:color w:val="auto"/>
          <w:sz w:val="28"/>
          <w:szCs w:val="28"/>
          <w:highlight w:val="none"/>
          <w:lang w:eastAsia="zh-CN"/>
        </w:rPr>
        <w:t>技术参数</w:t>
      </w:r>
      <w:r>
        <w:rPr>
          <w:rStyle w:val="14"/>
          <w:rFonts w:hint="eastAsia" w:ascii="方正仿宋_GB2312" w:hAnsi="方正仿宋_GB2312" w:eastAsia="方正仿宋_GB2312" w:cs="方正仿宋_GB2312"/>
          <w:b/>
          <w:bCs w:val="0"/>
          <w:color w:val="auto"/>
          <w:sz w:val="28"/>
          <w:szCs w:val="28"/>
          <w:highlight w:val="none"/>
        </w:rPr>
        <w:t>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26BE5044">
      <w:pPr>
        <w:keepNext w:val="0"/>
        <w:keepLines w:val="0"/>
        <w:pageBreakBefore w:val="0"/>
        <w:kinsoku/>
        <w:wordWrap/>
        <w:overflowPunct/>
        <w:topLinePunct w:val="0"/>
        <w:bidi w:val="0"/>
        <w:spacing w:line="360" w:lineRule="exact"/>
        <w:ind w:firstLine="562" w:firstLineChars="200"/>
        <w:rPr>
          <w:rFonts w:hint="default"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（一）技术要求</w:t>
      </w:r>
    </w:p>
    <w:p w14:paraId="401770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1、代码升级</w:t>
      </w:r>
    </w:p>
    <w:p w14:paraId="4699C06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1.1、门户网站代码目标框架需支持 .net8.0及以上版本。</w:t>
      </w:r>
    </w:p>
    <w:p w14:paraId="2BF2526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1.2、替换不兼容的 NuGet 包为信创版本。</w:t>
      </w:r>
    </w:p>
    <w:p w14:paraId="2267FD3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2、操作系统更新</w:t>
      </w:r>
    </w:p>
    <w:p w14:paraId="59565C8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目前使用服务器使用的操作系统Windows Server 2012操作系统，需要更新为麒麟V10等信创操作系统。</w:t>
      </w:r>
    </w:p>
    <w:p w14:paraId="39E7752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3、数据库迁移</w:t>
      </w:r>
    </w:p>
    <w:p w14:paraId="0117941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3.1、目前使用数据库版本是SQL Server2008，需要迁移至达梦等信创数据库。</w:t>
      </w:r>
    </w:p>
    <w:p w14:paraId="5A2E9CA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3.2、需要处理迁移后存在的 SQL 语法差异、数据类型映射、存储过程以及函数重写等问题，使得迁移后的数据库能够对前后端程序无差异支持。</w:t>
      </w:r>
    </w:p>
    <w:p w14:paraId="668156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3.3、迁移后的数据库应完整无误。</w:t>
      </w:r>
    </w:p>
    <w:p w14:paraId="1E9FB9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4、中间件迁移：</w:t>
      </w:r>
    </w:p>
    <w:p w14:paraId="407BCA2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4.1、需要迁移至信创中间件，如东方通等。</w:t>
      </w:r>
    </w:p>
    <w:p w14:paraId="71DFF58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4.2、前端浏览器对信创操作系统需要兼容。</w:t>
      </w:r>
    </w:p>
    <w:p w14:paraId="1086AF9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5、测试</w:t>
      </w:r>
    </w:p>
    <w:p w14:paraId="73DDAB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5.1、功能测试：项目改造后的所有业务功能在信创环境中与原有环境表现一致。</w:t>
      </w:r>
    </w:p>
    <w:p w14:paraId="1C9F23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5.2、性能测试：项目改造后的门户网站响应时间≤3s、并发用户量≥1000。</w:t>
      </w:r>
    </w:p>
    <w:p w14:paraId="694950C0">
      <w:pPr>
        <w:keepNext w:val="0"/>
        <w:keepLines w:val="0"/>
        <w:pageBreakBefore w:val="0"/>
        <w:kinsoku/>
        <w:wordWrap/>
        <w:overflowPunct/>
        <w:topLinePunct w:val="0"/>
        <w:bidi w:val="0"/>
        <w:spacing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（二）商务条件</w:t>
      </w:r>
    </w:p>
    <w:p w14:paraId="4C0FACDD">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1、验收</w:t>
      </w:r>
    </w:p>
    <w:p w14:paraId="79BD9423">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验收人员由采购人相关人员与成交人相关人员共同组成，验收结果由双方签字认可。</w:t>
      </w:r>
    </w:p>
    <w:p w14:paraId="53474DD3">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2、履约保证金</w:t>
      </w:r>
    </w:p>
    <w:p w14:paraId="253404EE">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成交人在签订采购合同前，以支票、汇票、本票或者金融机构、担保机构出具的保函等非现金形式向采购人缴纳合同总金额的5%作为履约保证金。该履约保证金待服务期结束后10个工作日内</w:t>
      </w:r>
      <w:r>
        <w:rPr>
          <w:rFonts w:hint="eastAsia" w:ascii="方正仿宋_GB2312" w:hAnsi="方正仿宋_GB2312" w:eastAsia="方正仿宋_GB2312" w:cs="方正仿宋_GB2312"/>
          <w:kern w:val="2"/>
          <w:sz w:val="28"/>
          <w:szCs w:val="28"/>
          <w:lang w:val="en-US" w:eastAsia="zh-Hans" w:bidi="ar-SA"/>
        </w:rPr>
        <w:t>无息退还给</w:t>
      </w:r>
      <w:r>
        <w:rPr>
          <w:rFonts w:hint="eastAsia" w:ascii="方正仿宋_GB2312" w:hAnsi="方正仿宋_GB2312" w:eastAsia="方正仿宋_GB2312" w:cs="方正仿宋_GB2312"/>
          <w:kern w:val="2"/>
          <w:sz w:val="28"/>
          <w:szCs w:val="28"/>
          <w:lang w:val="en-US" w:eastAsia="zh-CN" w:bidi="ar-SA"/>
        </w:rPr>
        <w:t>成交人。</w:t>
      </w:r>
    </w:p>
    <w:p w14:paraId="53BF1F10">
      <w:pPr>
        <w:keepNext w:val="0"/>
        <w:keepLines w:val="0"/>
        <w:pageBreakBefore w:val="0"/>
        <w:numPr>
          <w:ilvl w:val="0"/>
          <w:numId w:val="0"/>
        </w:numPr>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3、付款方式</w:t>
      </w:r>
    </w:p>
    <w:p w14:paraId="3FC48D08">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项目验收合格且收到正式等额发票后10个工作日内支付合同总金额的100%。</w:t>
      </w:r>
    </w:p>
    <w:p w14:paraId="6A83E655">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4、售后服务</w:t>
      </w:r>
    </w:p>
    <w:p w14:paraId="7BC1DA8F">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4.1、本项目服务期1年，自</w:t>
      </w:r>
      <w:r>
        <w:rPr>
          <w:rFonts w:hint="eastAsia" w:ascii="仿宋" w:hAnsi="仿宋" w:eastAsia="仿宋" w:cs="仿宋"/>
          <w:b w:val="0"/>
          <w:bCs w:val="0"/>
          <w:kern w:val="0"/>
          <w:sz w:val="28"/>
          <w:szCs w:val="28"/>
          <w:lang w:val="en-US" w:eastAsia="zh-CN" w:bidi="ar"/>
        </w:rPr>
        <w:t>项目验收合格</w:t>
      </w:r>
      <w:r>
        <w:rPr>
          <w:rFonts w:hint="eastAsia" w:ascii="方正仿宋_GB2312" w:hAnsi="方正仿宋_GB2312" w:eastAsia="方正仿宋_GB2312" w:cs="方正仿宋_GB2312"/>
          <w:kern w:val="2"/>
          <w:sz w:val="28"/>
          <w:szCs w:val="28"/>
          <w:lang w:val="en-US" w:eastAsia="zh-CN" w:bidi="ar-SA"/>
        </w:rPr>
        <w:t>之日起算，提供终身维修。</w:t>
      </w:r>
    </w:p>
    <w:p w14:paraId="0215F4BC">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服务期内售后服务内容：项目运行发生故障或出现质量问题，成交人接到采购人故障通知后，会在半小时内响应；若电话指导无法排除故障，成交人技术员应在2小时内到现场进行检查、维修；3小时内排除故障，其差旅费用(包含住宿、交通、生活补助等）由成交人自行承担。</w:t>
      </w:r>
    </w:p>
    <w:p w14:paraId="415B4205">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4.3、服务期满后，项目运行发生故障或出现质量问题，成交人接到采购人故障通知后，会在半小时内响应；若电话指导无法排除故障，成交人技术员应在2小时内到现场进行检查、维修；3小时内排除故障，其差旅费用(包含住宿、交通、生活补助等）由成交人自行承担。</w:t>
      </w:r>
    </w:p>
    <w:p w14:paraId="7EC592FE">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default"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4.4、技术资料要求：成交人须提供本项目技术资料一套。</w:t>
      </w:r>
    </w:p>
    <w:p w14:paraId="2B9CE998">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5、违约责任</w:t>
      </w:r>
    </w:p>
    <w:p w14:paraId="7C4C532B">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5.1、成交人如未在规定时间内签订合同的，视为自动放弃中标资格，投标保证金（若有）、履约保证金（若有）将不予退还，且应承担因违约造成的采购人的损失。</w:t>
      </w:r>
    </w:p>
    <w:p w14:paraId="415AA847">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5.2、在签定采购合同之后，成交人提供的货物及服务与投标文件不符，或未按合同规定的质量要求提供服务的，视为不合格，采购人有权拒收并解除合同，成交人向采购人支付合同总金额30%的违约金，由此造成的直接损失和间接损失还应由成交人赔偿。</w:t>
      </w:r>
    </w:p>
    <w:p w14:paraId="648B599F">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5.3、成交人项目逾期（包括验收不合格、整修、返工或由采购人提出的更改、成交人承诺，但未在承诺的工期内完成等）的，每逾期一天，偿付200元违约金；若成交人项目逾期达30天（含）以上的，采购人有权单方面解除合同并要求成交人支付合同总金额30%的违约金，成交人仍应按上述约定支付延期交货违约金。若因此给采购人造成损失的，还应赔偿采购人所受的损失。</w:t>
      </w:r>
    </w:p>
    <w:p w14:paraId="2C5CA8C4">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5.4、成交人未能按合同约定的时间提供服务的，每逾期一天，成交人应向采购人支付200元违约金，若因此给采购人造成损失的，成交人还应赔偿采购人所受的损失。</w:t>
      </w:r>
    </w:p>
    <w:p w14:paraId="36954807">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5.5、如因成交人在本项目实施过程中造成采购人业务中断，应由成交人完全承担责任，给采购人造成损失的应由成交人负责赔偿，采购人有权在合同款、履约保证金中扣除赔偿款项。</w:t>
      </w:r>
    </w:p>
    <w:p w14:paraId="2E01B6A0">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5.6、成交人提供的服务未达到合同约定的标准，应在采购人规定的时间内予以整改，每逾期一天，成交人应向采购人支付200元违约金，若因此给采购人造成损失的，成交人还应赔偿采购人所受的损失。未在规定时间内整改完成的，采购人有权单方面解除合同并要求成交人支付合同总金额30%的违约金，成交人仍应按上述约定支付违约金。</w:t>
      </w:r>
    </w:p>
    <w:p w14:paraId="70A78AD7">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5.7、成交人履行义务不符合合同约定时，若成交人未在接到采购人通知起七天内交纳违约金的，采购人有权扣减合同款、履约保证金。合同款、履约保证金不足以赔偿的，采购人有权提出追索和索赔。</w:t>
      </w:r>
    </w:p>
    <w:p w14:paraId="296FC2C7">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5.8、因成交人原因发生重大质量事故或数据安全事故，除依约承担赔偿责任外，还将按有关质量管理办法规定执行。同时，采购人有权保留更换成交人的权利，并报相关行政主管部门处罚。</w:t>
      </w:r>
    </w:p>
    <w:p w14:paraId="34333A30">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人的权利，给采购人造成的损失，还应承担赔偿责任。</w:t>
      </w:r>
    </w:p>
    <w:p w14:paraId="18295155">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5.10、任何一方因对方违约，向违约方主张权利所支出的律师费、诉讼费/仲裁费、保全费、差旅费等费用均有权要求违约方承担。</w:t>
      </w:r>
    </w:p>
    <w:p w14:paraId="744C99AB">
      <w:pPr>
        <w:keepNext w:val="0"/>
        <w:keepLines w:val="0"/>
        <w:pageBreakBefore w:val="0"/>
        <w:kinsoku/>
        <w:wordWrap/>
        <w:overflowPunct/>
        <w:topLinePunct w:val="0"/>
        <w:autoSpaceDE/>
        <w:autoSpaceDN/>
        <w:bidi w:val="0"/>
        <w:adjustRightInd/>
        <w:snapToGrid/>
        <w:spacing w:line="360" w:lineRule="exact"/>
        <w:ind w:left="0" w:leftChars="0" w:firstLine="560" w:firstLineChars="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5.11、本项目采购文件未明确的其它约定事项或条款，待采购人与成交人签订合同时，由双方协商订立。</w:t>
      </w:r>
    </w:p>
    <w:p w14:paraId="237D82E7">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2" w:firstLineChars="200"/>
        <w:jc w:val="both"/>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6、知识产权和保密义务</w:t>
      </w:r>
    </w:p>
    <w:p w14:paraId="188AC848">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6.1、采购人有权将成交人所提供的一切与本项目有关的资料分发给与本项目相关的各方，并不由此而构成任何侵权，但不得向任何与本项目无关的第三方提供。</w:t>
      </w:r>
    </w:p>
    <w:p w14:paraId="3DF66F9A">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6.2、项目实施期间和完成之后，本项目的资料、数据、研究成果等的所有权属于采购人，且无需经成交人同意，采购人可无偿、自主使用。</w:t>
      </w:r>
    </w:p>
    <w:p w14:paraId="5FD8629F">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6.3、本项目的所有权、使用权归采购人所有。</w:t>
      </w:r>
    </w:p>
    <w:p w14:paraId="2E1920A9">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6.4、成交人保证，采购人在中华人民共和国境内使用由成交人提供的系统软件或其他任何一部分时，都是合法的，不会受到第三方提出的侵权责任的追究，不致使采购人蒙受任何费用、损害、赔偿、请求、追讨或法律行动等方面的损失，上述行为所造成的后果由成交人承担。</w:t>
      </w:r>
    </w:p>
    <w:p w14:paraId="2EAC6DB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6.5、成交人承担的保密义务在本项目终止后继续有效，不受时间限制。</w:t>
      </w:r>
    </w:p>
    <w:p w14:paraId="2F74F7F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14:paraId="0ACB2367">
      <w:pPr>
        <w:pStyle w:val="4"/>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4C4F200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5921FE5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67E81F0E">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a.成立年限满1年及以上的投标/响应人，提供经审计的上一年度的年度财务报告。b.成立年限满半年但不足1年的投标/响应人，提供该半年度中任一季度的季度财务报告或该半年度的半年度财务报告。c.无法按照以上a、b项规定提供财务报告复印件的投标/响应人(包括但不限于：成立年限满1年及以上的投标/响应人、成立年限满半年但不足1年的投标/响应人、成立年限不足半年的投标/响应人)，应选择提供资信证明复印件，或按照规定提供《福建省政府采购供应商资格承诺函》(详见响应文件格式）)</w:t>
      </w:r>
    </w:p>
    <w:p w14:paraId="44A5910F">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2CE264D9">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0F5ED915">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304076F5">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19515A3B">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b/>
          <w:bCs/>
          <w:color w:val="auto"/>
          <w:sz w:val="28"/>
          <w:szCs w:val="28"/>
          <w:highlight w:val="none"/>
        </w:rPr>
        <w:t>（需提供承诺函或声明函）</w:t>
      </w:r>
      <w:r>
        <w:rPr>
          <w:rFonts w:hint="eastAsia" w:ascii="方正仿宋_GB2312" w:hAnsi="方正仿宋_GB2312" w:eastAsia="方正仿宋_GB2312" w:cs="方正仿宋_GB2312"/>
          <w:color w:val="auto"/>
          <w:sz w:val="28"/>
          <w:szCs w:val="28"/>
          <w:highlight w:val="none"/>
        </w:rPr>
        <w:t>。</w:t>
      </w:r>
    </w:p>
    <w:p w14:paraId="124A33A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b/>
          <w:bCs/>
          <w:sz w:val="28"/>
          <w:szCs w:val="28"/>
        </w:rPr>
        <w:t>本项目为专门面向中小企业采购项目</w:t>
      </w:r>
      <w:r>
        <w:rPr>
          <w:rFonts w:hint="eastAsia" w:ascii="方正仿宋_GB2312" w:hAnsi="方正仿宋_GB2312" w:eastAsia="方正仿宋_GB2312" w:cs="方正仿宋_GB2312"/>
          <w:sz w:val="28"/>
          <w:szCs w:val="28"/>
        </w:rPr>
        <w:t>，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w:t>
      </w:r>
      <w:bookmarkStart w:id="0" w:name="_GoBack"/>
      <w:bookmarkEnd w:id="0"/>
      <w:r>
        <w:rPr>
          <w:rFonts w:hint="eastAsia" w:ascii="方正仿宋_GB2312" w:hAnsi="方正仿宋_GB2312" w:eastAsia="方正仿宋_GB2312" w:cs="方正仿宋_GB2312"/>
          <w:sz w:val="28"/>
          <w:szCs w:val="28"/>
        </w:rPr>
        <w:t>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544309B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1544198">
      <w:pPr>
        <w:pStyle w:val="5"/>
        <w:keepNext w:val="0"/>
        <w:keepLines w:val="0"/>
        <w:pageBreakBefore w:val="0"/>
        <w:kinsoku/>
        <w:wordWrap/>
        <w:overflowPunct/>
        <w:topLinePunct w:val="0"/>
        <w:bidi w:val="0"/>
        <w:snapToGrid/>
        <w:spacing w:line="36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0DFF53F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7268224D">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12BBC4A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1A803F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13D80BF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56230D2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2E1EA0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4C58E6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4C4E13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七</w:t>
      </w:r>
      <w:r>
        <w:rPr>
          <w:rStyle w:val="14"/>
          <w:rFonts w:hint="eastAsia" w:ascii="方正仿宋_GB2312" w:hAnsi="方正仿宋_GB2312" w:eastAsia="方正仿宋_GB2312" w:cs="方正仿宋_GB2312"/>
          <w:b/>
          <w:bCs w:val="0"/>
          <w:color w:val="auto"/>
          <w:sz w:val="28"/>
          <w:szCs w:val="28"/>
          <w:highlight w:val="none"/>
        </w:rPr>
        <w:t>、答疑截止时间</w:t>
      </w:r>
    </w:p>
    <w:p w14:paraId="3DAF3E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4BCC358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八</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28DF7D9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312694F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431A435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275B36E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105E8B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27B9953E">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E9B9AD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01EB743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27</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2DA3B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、开标评标时间地点</w:t>
      </w:r>
    </w:p>
    <w:p w14:paraId="6CC3D1BE">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27</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（北京时间）</w:t>
      </w:r>
    </w:p>
    <w:p w14:paraId="7B28367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3219335D">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3691521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十</w:t>
      </w:r>
      <w:r>
        <w:rPr>
          <w:rStyle w:val="14"/>
          <w:rFonts w:hint="eastAsia" w:ascii="方正仿宋_GB2312" w:hAnsi="方正仿宋_GB2312" w:eastAsia="方正仿宋_GB2312" w:cs="方正仿宋_GB2312"/>
          <w:color w:val="auto"/>
          <w:sz w:val="28"/>
          <w:szCs w:val="28"/>
          <w:highlight w:val="none"/>
        </w:rPr>
        <w:t>、定标原则及办法</w:t>
      </w:r>
    </w:p>
    <w:p w14:paraId="67D684E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798031D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者为本项目成交人（若出现报价相同的情况，则由谈判小组按随机抽取方式确定最终成交候选人）。</w:t>
      </w:r>
    </w:p>
    <w:p w14:paraId="3314E69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5C4FDF6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3733F3B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5FF1F448">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301D72F0">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916642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840DB4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3B3D8BE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43ED94FC">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7C50C42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4408549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DACDD7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044DBAA4">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7C5B63E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F10A07B">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0CF37AB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6CF9A2D1">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167B9CA5">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7B29FD29">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2922BDF3">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36DEFD0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eastAsia="zh-CN"/>
        </w:rPr>
        <w:t>十</w:t>
      </w:r>
      <w:r>
        <w:rPr>
          <w:rStyle w:val="14"/>
          <w:rFonts w:hint="eastAsia" w:ascii="方正仿宋_GB2312" w:hAnsi="方正仿宋_GB2312" w:eastAsia="方正仿宋_GB2312" w:cs="方正仿宋_GB2312"/>
          <w:color w:val="auto"/>
          <w:sz w:val="28"/>
          <w:szCs w:val="28"/>
          <w:highlight w:val="none"/>
          <w:lang w:val="en-US" w:eastAsia="zh-CN"/>
        </w:rPr>
        <w:t>一</w:t>
      </w:r>
      <w:r>
        <w:rPr>
          <w:rStyle w:val="14"/>
          <w:rFonts w:hint="eastAsia" w:ascii="方正仿宋_GB2312" w:hAnsi="方正仿宋_GB2312" w:eastAsia="方正仿宋_GB2312" w:cs="方正仿宋_GB2312"/>
          <w:color w:val="auto"/>
          <w:sz w:val="28"/>
          <w:szCs w:val="28"/>
          <w:highlight w:val="none"/>
        </w:rPr>
        <w:t>、合同条款内容及签订</w:t>
      </w:r>
    </w:p>
    <w:p w14:paraId="0A1CC33A">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1、合同签订：成交人在接到成交通知后3天内，应派代表与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1D12A8E2">
      <w:pPr>
        <w:pStyle w:val="9"/>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23BA2B-F0C2-415B-92B5-92B8A06D568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C057A5D-8DDF-428B-BA5C-C016CB11E454}"/>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0010101010101"/>
    <w:charset w:val="86"/>
    <w:family w:val="auto"/>
    <w:pitch w:val="default"/>
    <w:sig w:usb0="00000001" w:usb1="080E0000" w:usb2="00000000" w:usb3="00000000" w:csb0="00040000" w:csb1="00000000"/>
    <w:embedRegular r:id="rId3" w:fontKey="{C1FED4BE-C84B-427E-9889-F8E9A2FAF28E}"/>
  </w:font>
  <w:font w:name="方正仿宋_GB2312">
    <w:panose1 w:val="02000000000000000000"/>
    <w:charset w:val="86"/>
    <w:family w:val="auto"/>
    <w:pitch w:val="default"/>
    <w:sig w:usb0="A00002BF" w:usb1="184F6CFA" w:usb2="00000012" w:usb3="00000000" w:csb0="00040001" w:csb1="00000000"/>
    <w:embedRegular r:id="rId4" w:fontKey="{39481725-FABF-4725-BFCE-DC89BF394275}"/>
  </w:font>
  <w:font w:name="仿宋">
    <w:panose1 w:val="02010609060101010101"/>
    <w:charset w:val="86"/>
    <w:family w:val="modern"/>
    <w:pitch w:val="default"/>
    <w:sig w:usb0="800002BF" w:usb1="38CF7CFA" w:usb2="00000016" w:usb3="00000000" w:csb0="00040001" w:csb1="00000000"/>
    <w:embedRegular r:id="rId5" w:fontKey="{37A32B2C-7B8F-488C-915C-AFF6089CB2B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C1E4">
    <w:pPr>
      <w:pStyle w:val="8"/>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86DB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286DB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1255C">
                          <w:pPr>
                            <w:pStyle w:val="8"/>
                            <w:widowControl/>
                            <w:snapToGrid w:val="0"/>
                            <w:jc w:val="left"/>
                            <w:textAlignment w:val="baseline"/>
                            <w:rPr>
                              <w:rStyle w:val="18"/>
                              <w:rFonts w:ascii="仿宋_GB2312" w:hAnsi="仿宋_GB2312" w:eastAsia="仿宋_GB2312"/>
                              <w:kern w:val="2"/>
                              <w:sz w:val="32"/>
                              <w:szCs w:val="32"/>
                              <w:lang w:val="en-US" w:eastAsia="zh-CN" w:bidi="ar-SA"/>
                            </w:rPr>
                          </w:pPr>
                        </w:p>
                        <w:p w14:paraId="1FB59CEB">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4B21255C">
                    <w:pPr>
                      <w:pStyle w:val="8"/>
                      <w:widowControl/>
                      <w:snapToGrid w:val="0"/>
                      <w:jc w:val="left"/>
                      <w:textAlignment w:val="baseline"/>
                      <w:rPr>
                        <w:rStyle w:val="18"/>
                        <w:rFonts w:ascii="仿宋_GB2312" w:hAnsi="仿宋_GB2312" w:eastAsia="仿宋_GB2312"/>
                        <w:kern w:val="2"/>
                        <w:sz w:val="32"/>
                        <w:szCs w:val="32"/>
                        <w:lang w:val="en-US" w:eastAsia="zh-CN" w:bidi="ar-SA"/>
                      </w:rPr>
                    </w:pPr>
                  </w:p>
                  <w:p w14:paraId="1FB59CEB">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2549"/>
    <w:multiLevelType w:val="singleLevel"/>
    <w:tmpl w:val="2DB225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4652B27"/>
    <w:rsid w:val="049B2F06"/>
    <w:rsid w:val="06EC6EEE"/>
    <w:rsid w:val="076B5857"/>
    <w:rsid w:val="07907EFE"/>
    <w:rsid w:val="07A80859"/>
    <w:rsid w:val="08B71858"/>
    <w:rsid w:val="098E52A0"/>
    <w:rsid w:val="0A6A0048"/>
    <w:rsid w:val="0C1C223F"/>
    <w:rsid w:val="0E2C4469"/>
    <w:rsid w:val="0E903DF5"/>
    <w:rsid w:val="10B64F82"/>
    <w:rsid w:val="110B3F03"/>
    <w:rsid w:val="124754CB"/>
    <w:rsid w:val="13876815"/>
    <w:rsid w:val="15C46F28"/>
    <w:rsid w:val="16A1506E"/>
    <w:rsid w:val="174C1201"/>
    <w:rsid w:val="187327BD"/>
    <w:rsid w:val="1C187979"/>
    <w:rsid w:val="1CBE7BEF"/>
    <w:rsid w:val="1FBC0EEE"/>
    <w:rsid w:val="1FE950B6"/>
    <w:rsid w:val="20241715"/>
    <w:rsid w:val="20DC33DB"/>
    <w:rsid w:val="22F40F6B"/>
    <w:rsid w:val="24931896"/>
    <w:rsid w:val="24CC572F"/>
    <w:rsid w:val="25FE7467"/>
    <w:rsid w:val="263230B7"/>
    <w:rsid w:val="267F7CFE"/>
    <w:rsid w:val="27EE2107"/>
    <w:rsid w:val="2B25034B"/>
    <w:rsid w:val="2E204D3E"/>
    <w:rsid w:val="2E826880"/>
    <w:rsid w:val="31185E33"/>
    <w:rsid w:val="31B475C5"/>
    <w:rsid w:val="32A0644D"/>
    <w:rsid w:val="340842AA"/>
    <w:rsid w:val="340F06E9"/>
    <w:rsid w:val="35176A19"/>
    <w:rsid w:val="354D5B85"/>
    <w:rsid w:val="36265E90"/>
    <w:rsid w:val="36DF7544"/>
    <w:rsid w:val="39106D2F"/>
    <w:rsid w:val="39CB2002"/>
    <w:rsid w:val="3A914FF9"/>
    <w:rsid w:val="3B3135D0"/>
    <w:rsid w:val="3BFA40BE"/>
    <w:rsid w:val="3C6978B0"/>
    <w:rsid w:val="3CA05045"/>
    <w:rsid w:val="3CD33A6F"/>
    <w:rsid w:val="3D906EBC"/>
    <w:rsid w:val="3D986541"/>
    <w:rsid w:val="3EE35FD4"/>
    <w:rsid w:val="412070D7"/>
    <w:rsid w:val="45AE54CB"/>
    <w:rsid w:val="48403BBB"/>
    <w:rsid w:val="49157196"/>
    <w:rsid w:val="4D0354AC"/>
    <w:rsid w:val="4D115206"/>
    <w:rsid w:val="4D7B21B1"/>
    <w:rsid w:val="4D9F405C"/>
    <w:rsid w:val="4E681CBD"/>
    <w:rsid w:val="4F9251CB"/>
    <w:rsid w:val="50251647"/>
    <w:rsid w:val="51066946"/>
    <w:rsid w:val="51850890"/>
    <w:rsid w:val="51D8535D"/>
    <w:rsid w:val="52944000"/>
    <w:rsid w:val="532145E9"/>
    <w:rsid w:val="53DE53F7"/>
    <w:rsid w:val="54907C78"/>
    <w:rsid w:val="54A159E1"/>
    <w:rsid w:val="56E1360D"/>
    <w:rsid w:val="57EF1159"/>
    <w:rsid w:val="58317A7F"/>
    <w:rsid w:val="583628E4"/>
    <w:rsid w:val="584E7C2E"/>
    <w:rsid w:val="5A92249C"/>
    <w:rsid w:val="5BF3138E"/>
    <w:rsid w:val="5C7165E1"/>
    <w:rsid w:val="5D8261C9"/>
    <w:rsid w:val="5DEF56D6"/>
    <w:rsid w:val="5E5759AC"/>
    <w:rsid w:val="5FA41C3A"/>
    <w:rsid w:val="5FFA69D9"/>
    <w:rsid w:val="602F6597"/>
    <w:rsid w:val="624B5C98"/>
    <w:rsid w:val="632F034D"/>
    <w:rsid w:val="63494BBA"/>
    <w:rsid w:val="635841DC"/>
    <w:rsid w:val="664A1589"/>
    <w:rsid w:val="6856486A"/>
    <w:rsid w:val="68A658A4"/>
    <w:rsid w:val="68C36121"/>
    <w:rsid w:val="699F653B"/>
    <w:rsid w:val="6A1967F4"/>
    <w:rsid w:val="6A564261"/>
    <w:rsid w:val="6A615EE7"/>
    <w:rsid w:val="6A900D9B"/>
    <w:rsid w:val="6D2F6881"/>
    <w:rsid w:val="6DCB4621"/>
    <w:rsid w:val="6ED150AB"/>
    <w:rsid w:val="6F2A4AF9"/>
    <w:rsid w:val="6F923C98"/>
    <w:rsid w:val="6FB76DE2"/>
    <w:rsid w:val="70BF7003"/>
    <w:rsid w:val="72B234CC"/>
    <w:rsid w:val="72C11107"/>
    <w:rsid w:val="742F667C"/>
    <w:rsid w:val="7516167C"/>
    <w:rsid w:val="75735BAE"/>
    <w:rsid w:val="78494CB3"/>
    <w:rsid w:val="79895C20"/>
    <w:rsid w:val="7B4C0BF6"/>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455"/>
    </w:pPr>
    <w:rPr>
      <w:rFonts w:ascii="宋体" w:hAnsi="宋体" w:eastAsia="宋体" w:cs="宋体"/>
      <w:sz w:val="24"/>
      <w:szCs w:val="24"/>
      <w:lang w:val="zh-CN" w:eastAsia="zh-CN" w:bidi="zh-CN"/>
    </w:rPr>
  </w:style>
  <w:style w:type="paragraph" w:styleId="5">
    <w:name w:val="Body Text 2"/>
    <w:basedOn w:val="1"/>
    <w:qFormat/>
    <w:uiPriority w:val="0"/>
    <w:pPr>
      <w:spacing w:after="120" w:line="480" w:lineRule="auto"/>
    </w:pPr>
    <w:rPr>
      <w:kern w:val="2"/>
      <w:sz w:val="21"/>
    </w:rPr>
  </w:style>
  <w:style w:type="paragraph" w:styleId="6">
    <w:name w:val="Body Text Indent"/>
    <w:basedOn w:val="1"/>
    <w:next w:val="7"/>
    <w:qFormat/>
    <w:uiPriority w:val="0"/>
    <w:pPr>
      <w:spacing w:after="120" w:afterLines="0"/>
      <w:ind w:left="420" w:leftChars="200"/>
    </w:pPr>
    <w:rPr>
      <w:rFonts w:ascii="宋体" w:hAnsi="宋体"/>
      <w:sz w:val="24"/>
    </w:rPr>
  </w:style>
  <w:style w:type="paragraph" w:styleId="7">
    <w:name w:val="Body Text First Indent 2"/>
    <w:basedOn w:val="6"/>
    <w:qFormat/>
    <w:uiPriority w:val="0"/>
    <w:pPr>
      <w:spacing w:after="120" w:afterLines="0" w:line="240" w:lineRule="auto"/>
      <w:ind w:left="420" w:leftChars="200" w:firstLine="420" w:firstLineChars="200"/>
    </w:pPr>
  </w:style>
  <w:style w:type="paragraph" w:styleId="8">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5614</Words>
  <Characters>5917</Characters>
  <Lines>0</Lines>
  <Paragraphs>0</Paragraphs>
  <TotalTime>26</TotalTime>
  <ScaleCrop>false</ScaleCrop>
  <LinksUpToDate>false</LinksUpToDate>
  <CharactersWithSpaces>5939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天津饭</cp:lastModifiedBy>
  <cp:lastPrinted>2025-11-20T06:26:04Z</cp:lastPrinted>
  <dcterms:modified xsi:type="dcterms:W3CDTF">2025-11-20T06:26:10Z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8BA31B6557CB4051B073B84907D2B0C3_13</vt:lpwstr>
  </property>
  <property fmtid="{D5CDD505-2E9C-101B-9397-08002B2CF9AE}" pid="4" name="KSOTemplateDocerSaveRecord">
    <vt:lpwstr>eyJoZGlkIjoiNjBhY2Q1M2U5MjFlNzFkYTYwZmU5ZDI5MDYwMTA3NWUiLCJ1c2VySWQiOiIyNzI4MDk1MzYifQ==</vt:lpwstr>
  </property>
</Properties>
</file>