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4693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jc w:val="center"/>
        <w:textAlignment w:val="auto"/>
        <w:rPr>
          <w:rFonts w:hint="eastAsia" w:ascii="方正小标宋简体" w:hAnsi="方正小标宋简体" w:eastAsia="方正小标宋简体" w:cs="方正小标宋简体"/>
          <w:sz w:val="44"/>
          <w:szCs w:val="44"/>
        </w:rPr>
      </w:pPr>
    </w:p>
    <w:p w14:paraId="2FF80C63">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福建省级机关医院</w:t>
      </w:r>
    </w:p>
    <w:p w14:paraId="18B5AFE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jc w:val="center"/>
        <w:textAlignment w:val="auto"/>
        <w:rPr>
          <w:rFonts w:hint="eastAsia" w:eastAsia="方正小标宋简体"/>
          <w:lang w:eastAsia="zh-CN"/>
        </w:rPr>
      </w:pPr>
      <w:r>
        <w:rPr>
          <w:rFonts w:hint="eastAsia" w:ascii="方正小标宋简体" w:hAnsi="方正小标宋简体" w:eastAsia="方正小标宋简体" w:cs="方正小标宋简体"/>
          <w:sz w:val="44"/>
          <w:szCs w:val="44"/>
        </w:rPr>
        <w:t>科室腾挪搬迁服务项目采购</w:t>
      </w:r>
      <w:r>
        <w:rPr>
          <w:rFonts w:hint="eastAsia" w:ascii="方正小标宋简体" w:hAnsi="方正小标宋简体" w:eastAsia="方正小标宋简体" w:cs="方正小标宋简体"/>
          <w:sz w:val="44"/>
          <w:szCs w:val="44"/>
          <w:lang w:eastAsia="zh-CN"/>
        </w:rPr>
        <w:t>文件</w:t>
      </w:r>
    </w:p>
    <w:p w14:paraId="55F6D530">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firstLine="640" w:firstLineChars="200"/>
        <w:textAlignment w:val="auto"/>
        <w:rPr>
          <w:sz w:val="32"/>
          <w:szCs w:val="32"/>
        </w:rPr>
      </w:pPr>
    </w:p>
    <w:p w14:paraId="6F8CEACF">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福建省级机关医院组织院内采购活动，现欢迎国内合格的供应商前来提交密封的响应文件。</w:t>
      </w:r>
    </w:p>
    <w:p w14:paraId="781A63A8">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9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项目概况</w:t>
      </w:r>
    </w:p>
    <w:p w14:paraId="24F3F455">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项目名称：</w:t>
      </w:r>
      <w:r>
        <w:rPr>
          <w:rFonts w:hint="eastAsia" w:ascii="仿宋" w:hAnsi="仿宋" w:eastAsia="仿宋" w:cs="仿宋"/>
          <w:b w:val="0"/>
          <w:bCs w:val="0"/>
          <w:sz w:val="32"/>
          <w:szCs w:val="32"/>
          <w:lang w:val="en-US" w:eastAsia="zh-CN"/>
        </w:rPr>
        <w:t>科室腾挪搬迁服务</w:t>
      </w:r>
    </w:p>
    <w:p w14:paraId="7B23F18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firstLine="640" w:firstLineChars="200"/>
        <w:textAlignment w:val="auto"/>
        <w:rPr>
          <w:rFonts w:hint="eastAsia" w:ascii="仿宋" w:hAnsi="仿宋" w:eastAsia="仿宋" w:cs="仿宋"/>
          <w:sz w:val="32"/>
          <w:szCs w:val="32"/>
          <w:lang w:val="en-US"/>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项目编号：</w:t>
      </w:r>
      <w:r>
        <w:rPr>
          <w:rFonts w:hint="eastAsia" w:ascii="仿宋" w:hAnsi="仿宋" w:eastAsia="仿宋" w:cs="仿宋"/>
          <w:color w:val="auto"/>
          <w:sz w:val="32"/>
          <w:szCs w:val="32"/>
          <w:highlight w:val="none"/>
          <w:lang w:val="en-US" w:eastAsia="zh-CN"/>
        </w:rPr>
        <w:t>FJSJJGYY-SBK2026-25-01</w:t>
      </w:r>
    </w:p>
    <w:p w14:paraId="0513A4F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3.采购</w:t>
      </w:r>
      <w:r>
        <w:rPr>
          <w:rFonts w:hint="eastAsia" w:ascii="仿宋" w:hAnsi="仿宋" w:eastAsia="仿宋" w:cs="仿宋"/>
          <w:sz w:val="32"/>
          <w:szCs w:val="32"/>
        </w:rPr>
        <w:t>范围和内容：</w:t>
      </w:r>
      <w:r>
        <w:rPr>
          <w:rFonts w:hint="eastAsia" w:ascii="仿宋" w:hAnsi="仿宋" w:eastAsia="仿宋" w:cs="仿宋"/>
          <w:sz w:val="32"/>
          <w:szCs w:val="32"/>
          <w:lang w:eastAsia="zh-CN"/>
        </w:rPr>
        <w:t>详见搬迁内容</w:t>
      </w:r>
    </w:p>
    <w:p w14:paraId="73A36004">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本项目预算金额：</w:t>
      </w:r>
      <w:r>
        <w:rPr>
          <w:rFonts w:hint="eastAsia" w:ascii="仿宋" w:hAnsi="仿宋" w:eastAsia="仿宋" w:cs="仿宋"/>
          <w:sz w:val="32"/>
          <w:szCs w:val="32"/>
          <w:lang w:val="en-US" w:eastAsia="zh-CN"/>
        </w:rPr>
        <w:t>98000.00</w:t>
      </w:r>
      <w:r>
        <w:rPr>
          <w:rFonts w:hint="eastAsia" w:ascii="仿宋" w:hAnsi="仿宋" w:eastAsia="仿宋" w:cs="仿宋"/>
          <w:sz w:val="32"/>
          <w:szCs w:val="32"/>
        </w:rPr>
        <w:t>元</w:t>
      </w:r>
    </w:p>
    <w:p w14:paraId="46DF0F19">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90" w:lineRule="exact"/>
        <w:ind w:left="0" w:leftChars="0" w:right="0" w:rightChars="0" w:firstLine="640" w:firstLineChars="200"/>
        <w:jc w:val="left"/>
        <w:textAlignment w:val="auto"/>
        <w:rPr>
          <w:rStyle w:val="15"/>
          <w:rFonts w:hint="eastAsia" w:ascii="仿宋" w:hAnsi="仿宋" w:eastAsia="仿宋" w:cs="仿宋"/>
          <w:b w:val="0"/>
          <w:i w:val="0"/>
          <w:caps w:val="0"/>
          <w:spacing w:val="0"/>
          <w:w w:val="100"/>
          <w:kern w:val="2"/>
          <w:sz w:val="32"/>
          <w:szCs w:val="32"/>
          <w:highlight w:val="none"/>
          <w:lang w:val="en-US" w:eastAsia="zh-CN" w:bidi="ar-SA"/>
        </w:rPr>
      </w:pPr>
      <w:r>
        <w:rPr>
          <w:rFonts w:hint="eastAsia" w:ascii="仿宋" w:hAnsi="仿宋" w:eastAsia="仿宋" w:cs="仿宋"/>
          <w:b w:val="0"/>
          <w:i w:val="0"/>
          <w:caps w:val="0"/>
          <w:spacing w:val="0"/>
          <w:w w:val="100"/>
          <w:kern w:val="2"/>
          <w:sz w:val="32"/>
          <w:szCs w:val="32"/>
          <w:lang w:val="en-US" w:eastAsia="zh-CN" w:bidi="ar-SA"/>
        </w:rPr>
        <w:t>5.</w:t>
      </w:r>
      <w:r>
        <w:rPr>
          <w:rFonts w:hint="eastAsia" w:ascii="仿宋" w:hAnsi="仿宋" w:eastAsia="仿宋" w:cs="仿宋"/>
          <w:sz w:val="32"/>
          <w:szCs w:val="32"/>
        </w:rPr>
        <w:t>采购方式</w:t>
      </w:r>
      <w:r>
        <w:rPr>
          <w:rFonts w:hint="eastAsia" w:ascii="仿宋" w:hAnsi="仿宋" w:eastAsia="仿宋" w:cs="仿宋"/>
          <w:sz w:val="32"/>
          <w:szCs w:val="32"/>
          <w:lang w:eastAsia="zh-CN"/>
        </w:rPr>
        <w:t>：</w:t>
      </w:r>
      <w:r>
        <w:rPr>
          <w:rStyle w:val="15"/>
          <w:rFonts w:hint="eastAsia" w:ascii="仿宋" w:hAnsi="仿宋" w:eastAsia="仿宋" w:cs="仿宋"/>
          <w:b w:val="0"/>
          <w:i w:val="0"/>
          <w:caps w:val="0"/>
          <w:spacing w:val="0"/>
          <w:w w:val="100"/>
          <w:kern w:val="2"/>
          <w:sz w:val="32"/>
          <w:szCs w:val="32"/>
          <w:highlight w:val="none"/>
          <w:lang w:val="en-US" w:eastAsia="zh-CN" w:bidi="ar-SA"/>
        </w:rPr>
        <w:t>本项目为非政府采购项目，采购方式参照竞争性谈判</w:t>
      </w:r>
    </w:p>
    <w:p w14:paraId="07D15C4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rPr>
        <w:t>评标方式：本项目</w:t>
      </w:r>
      <w:r>
        <w:rPr>
          <w:rFonts w:hint="eastAsia" w:ascii="仿宋" w:hAnsi="仿宋" w:eastAsia="仿宋" w:cs="仿宋"/>
          <w:sz w:val="32"/>
          <w:szCs w:val="32"/>
          <w:lang w:val="en-US" w:eastAsia="zh-CN"/>
        </w:rPr>
        <w:t>采用最低评标价法</w:t>
      </w:r>
    </w:p>
    <w:p w14:paraId="41499DD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b w:val="0"/>
          <w:bCs w:val="0"/>
          <w:color w:val="auto"/>
          <w:sz w:val="32"/>
          <w:szCs w:val="32"/>
          <w:lang w:val="en-US" w:eastAsia="zh-CN"/>
        </w:rPr>
        <w:t>服务期限</w:t>
      </w:r>
      <w:r>
        <w:rPr>
          <w:rFonts w:hint="eastAsia" w:ascii="仿宋" w:hAnsi="仿宋" w:eastAsia="仿宋" w:cs="仿宋"/>
          <w:sz w:val="32"/>
          <w:szCs w:val="32"/>
        </w:rPr>
        <w:t>：2026年9月22日</w:t>
      </w:r>
      <w:r>
        <w:rPr>
          <w:rFonts w:hint="eastAsia" w:ascii="仿宋" w:hAnsi="仿宋" w:eastAsia="仿宋" w:cs="仿宋"/>
          <w:sz w:val="32"/>
          <w:szCs w:val="32"/>
        </w:rPr>
        <w:noBreakHyphen/>
      </w:r>
      <w:r>
        <w:rPr>
          <w:rFonts w:hint="eastAsia" w:ascii="仿宋" w:hAnsi="仿宋" w:eastAsia="仿宋" w:cs="仿宋"/>
          <w:sz w:val="32"/>
          <w:szCs w:val="32"/>
        </w:rPr>
        <w:t>2026年12月31日，搬迁次数根据采购人需求</w:t>
      </w:r>
      <w:r>
        <w:rPr>
          <w:rFonts w:hint="eastAsia" w:ascii="仿宋" w:hAnsi="仿宋" w:eastAsia="仿宋" w:cs="仿宋"/>
          <w:sz w:val="32"/>
          <w:szCs w:val="32"/>
          <w:lang w:eastAsia="zh-CN"/>
        </w:rPr>
        <w:t>制定</w:t>
      </w:r>
      <w:r>
        <w:rPr>
          <w:rFonts w:hint="eastAsia" w:ascii="仿宋" w:hAnsi="仿宋" w:eastAsia="仿宋" w:cs="仿宋"/>
          <w:sz w:val="32"/>
          <w:szCs w:val="32"/>
        </w:rPr>
        <w:t>，供应商</w:t>
      </w:r>
      <w:r>
        <w:rPr>
          <w:rFonts w:hint="eastAsia" w:ascii="仿宋" w:hAnsi="仿宋" w:eastAsia="仿宋" w:cs="仿宋"/>
          <w:sz w:val="32"/>
          <w:szCs w:val="32"/>
          <w:lang w:eastAsia="zh-CN"/>
        </w:rPr>
        <w:t>需</w:t>
      </w:r>
      <w:r>
        <w:rPr>
          <w:rFonts w:hint="eastAsia" w:ascii="仿宋" w:hAnsi="仿宋" w:eastAsia="仿宋" w:cs="仿宋"/>
          <w:sz w:val="32"/>
          <w:szCs w:val="32"/>
        </w:rPr>
        <w:t>在接到采购人通知后12个小时</w:t>
      </w:r>
      <w:r>
        <w:rPr>
          <w:rFonts w:hint="eastAsia" w:ascii="仿宋" w:hAnsi="仿宋" w:eastAsia="仿宋" w:cs="仿宋"/>
          <w:sz w:val="32"/>
          <w:szCs w:val="32"/>
          <w:lang w:eastAsia="zh-CN"/>
        </w:rPr>
        <w:t>内</w:t>
      </w:r>
      <w:r>
        <w:rPr>
          <w:rFonts w:hint="eastAsia" w:ascii="仿宋" w:hAnsi="仿宋" w:eastAsia="仿宋" w:cs="仿宋"/>
          <w:sz w:val="32"/>
          <w:szCs w:val="32"/>
        </w:rPr>
        <w:t>安排工人到位，24小时内完成</w:t>
      </w:r>
      <w:r>
        <w:rPr>
          <w:rFonts w:hint="eastAsia" w:ascii="仿宋" w:hAnsi="仿宋" w:eastAsia="仿宋" w:cs="仿宋"/>
          <w:sz w:val="32"/>
          <w:szCs w:val="32"/>
          <w:lang w:eastAsia="zh-CN"/>
        </w:rPr>
        <w:t>当天采购人通知的搬迁</w:t>
      </w:r>
      <w:r>
        <w:rPr>
          <w:rFonts w:hint="eastAsia" w:ascii="仿宋" w:hAnsi="仿宋" w:eastAsia="仿宋" w:cs="仿宋"/>
          <w:sz w:val="32"/>
          <w:szCs w:val="32"/>
        </w:rPr>
        <w:t>工作。</w:t>
      </w:r>
    </w:p>
    <w:p w14:paraId="0A36A2DE">
      <w:pPr>
        <w:pStyle w:val="9"/>
        <w:keepNext w:val="0"/>
        <w:keepLines w:val="0"/>
        <w:widowControl/>
        <w:suppressLineNumbers w:val="0"/>
        <w:spacing w:beforeAutospacing="0" w:afterAutospacing="0"/>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搬迁内容</w:t>
      </w:r>
    </w:p>
    <w:tbl>
      <w:tblPr>
        <w:tblStyle w:val="10"/>
        <w:tblW w:w="0" w:type="auto"/>
        <w:tblCellSpacing w:w="15"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288"/>
        <w:gridCol w:w="1059"/>
        <w:gridCol w:w="6503"/>
      </w:tblGrid>
      <w:tr w14:paraId="3011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99" w:hRule="atLeast"/>
          <w:tblHeader/>
          <w:tblCellSpacing w:w="15" w:type="dxa"/>
        </w:trPr>
        <w:tc>
          <w:tcPr>
            <w:tcW w:w="0" w:type="auto"/>
            <w:shd w:val="clear" w:color="auto" w:fill="auto"/>
            <w:vAlign w:val="center"/>
          </w:tcPr>
          <w:p w14:paraId="460EC6DB">
            <w:pPr>
              <w:keepNext w:val="0"/>
              <w:keepLines w:val="0"/>
              <w:widowControl/>
              <w:suppressLineNumbers w:val="0"/>
              <w:jc w:val="center"/>
              <w:rPr>
                <w:rFonts w:hint="eastAsia" w:ascii="宋体" w:hAnsi="宋体" w:eastAsia="宋体" w:cs="宋体"/>
                <w:b/>
                <w:bCs/>
              </w:rPr>
            </w:pPr>
            <w:r>
              <w:rPr>
                <w:rFonts w:hint="eastAsia" w:ascii="宋体" w:hAnsi="宋体" w:eastAsia="宋体" w:cs="宋体"/>
                <w:b/>
                <w:bCs/>
                <w:kern w:val="0"/>
                <w:sz w:val="24"/>
                <w:szCs w:val="24"/>
                <w:lang w:val="en-US" w:eastAsia="zh-CN" w:bidi="ar"/>
              </w:rPr>
              <w:t>原办公地点</w:t>
            </w:r>
          </w:p>
        </w:tc>
        <w:tc>
          <w:tcPr>
            <w:tcW w:w="0" w:type="auto"/>
            <w:shd w:val="clear" w:color="auto" w:fill="auto"/>
            <w:vAlign w:val="center"/>
          </w:tcPr>
          <w:p w14:paraId="08E91497">
            <w:pPr>
              <w:keepNext w:val="0"/>
              <w:keepLines w:val="0"/>
              <w:widowControl/>
              <w:suppressLineNumbers w:val="0"/>
              <w:jc w:val="center"/>
              <w:rPr>
                <w:rFonts w:hint="eastAsia" w:ascii="宋体" w:hAnsi="宋体" w:eastAsia="宋体" w:cs="宋体"/>
                <w:b/>
                <w:bCs/>
              </w:rPr>
            </w:pPr>
            <w:r>
              <w:rPr>
                <w:rFonts w:hint="eastAsia" w:ascii="宋体" w:hAnsi="宋体" w:eastAsia="宋体" w:cs="宋体"/>
                <w:b/>
                <w:bCs/>
                <w:kern w:val="0"/>
                <w:sz w:val="24"/>
                <w:szCs w:val="24"/>
                <w:lang w:val="en-US" w:eastAsia="zh-CN" w:bidi="ar"/>
              </w:rPr>
              <w:t>搬迁地点</w:t>
            </w:r>
          </w:p>
        </w:tc>
        <w:tc>
          <w:tcPr>
            <w:tcW w:w="0" w:type="auto"/>
            <w:shd w:val="clear" w:color="auto" w:fill="auto"/>
            <w:vAlign w:val="center"/>
          </w:tcPr>
          <w:p w14:paraId="27D37590">
            <w:pPr>
              <w:keepNext w:val="0"/>
              <w:keepLines w:val="0"/>
              <w:widowControl/>
              <w:suppressLineNumbers w:val="0"/>
              <w:jc w:val="center"/>
              <w:rPr>
                <w:rFonts w:hint="eastAsia" w:ascii="宋体" w:hAnsi="宋体" w:eastAsia="宋体" w:cs="宋体"/>
                <w:b/>
                <w:bCs/>
              </w:rPr>
            </w:pPr>
            <w:r>
              <w:rPr>
                <w:rFonts w:hint="eastAsia" w:ascii="宋体" w:hAnsi="宋体" w:eastAsia="宋体" w:cs="宋体"/>
                <w:b/>
                <w:bCs/>
                <w:kern w:val="0"/>
                <w:sz w:val="24"/>
                <w:szCs w:val="24"/>
                <w:lang w:val="en-US" w:eastAsia="zh-CN" w:bidi="ar"/>
              </w:rPr>
              <w:t>搬迁物资</w:t>
            </w:r>
          </w:p>
        </w:tc>
      </w:tr>
      <w:tr w14:paraId="17C6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55" w:hRule="atLeast"/>
          <w:tblCellSpacing w:w="15" w:type="dxa"/>
        </w:trPr>
        <w:tc>
          <w:tcPr>
            <w:tcW w:w="0" w:type="auto"/>
            <w:shd w:val="clear" w:color="auto" w:fill="auto"/>
            <w:vAlign w:val="center"/>
          </w:tcPr>
          <w:p w14:paraId="5D6165DD">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建邦大厦403、407、406、412</w:t>
            </w:r>
          </w:p>
        </w:tc>
        <w:tc>
          <w:tcPr>
            <w:tcW w:w="0" w:type="auto"/>
            <w:shd w:val="clear" w:color="auto" w:fill="auto"/>
            <w:vAlign w:val="center"/>
          </w:tcPr>
          <w:p w14:paraId="1597A090">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6号楼2楼（院内）</w:t>
            </w:r>
          </w:p>
        </w:tc>
        <w:tc>
          <w:tcPr>
            <w:tcW w:w="0" w:type="auto"/>
            <w:shd w:val="clear" w:color="auto" w:fill="auto"/>
            <w:vAlign w:val="center"/>
          </w:tcPr>
          <w:p w14:paraId="4711019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403：电脑2台、打印机1台、1套L型办公桌，1张办公椅、1张小方桌、2张木椅、1张长沙发、1张午休椅、3个双门柜、1个小矮柜、大纸箱5箱、1幅字画、1台电风扇、2箱（烧水壶等）</w:t>
            </w:r>
          </w:p>
          <w:p w14:paraId="2FCD4DB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407：电脑2台、打印机1台、1张大办公桌桌、1张办公椅、1张矮茶桌、1张长沙发、3张小木凳、2张折叠椅、2个双门柜、2个长矮柜、大纸箱5箱、1台空气消毒机、1盆绿植、2箱（烧水壶）</w:t>
            </w:r>
          </w:p>
          <w:p w14:paraId="3A073AB0">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406：电脑2台、打印机1台、1张大办公桌、1张办公椅、1张矮茶桌、1张长沙发、3张折叠椅、3张小木凳、1个双门柜、1个三门柜、1个小矮柜、1个长矮柜、1个中柜、大纸箱5箱、1盆绿植、3幅字画、1台电风扇、2箱（烧水壶等）</w:t>
            </w:r>
          </w:p>
          <w:p w14:paraId="362A973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412：电脑3台、打印机1台、2张办公桌、2张办公椅、1张小圆桌、2张长桌、2张木椅、2个双门书柜、纸箱3箱、1台碎纸机、3箱（办公用品等）</w:t>
            </w:r>
          </w:p>
        </w:tc>
      </w:tr>
      <w:tr w14:paraId="18DE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9FC18C9">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建邦大厦410</w:t>
            </w:r>
          </w:p>
        </w:tc>
        <w:tc>
          <w:tcPr>
            <w:tcW w:w="0" w:type="auto"/>
            <w:shd w:val="clear" w:color="auto" w:fill="auto"/>
            <w:vAlign w:val="center"/>
          </w:tcPr>
          <w:p w14:paraId="15B66411">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门诊三楼（院内）</w:t>
            </w:r>
          </w:p>
        </w:tc>
        <w:tc>
          <w:tcPr>
            <w:tcW w:w="0" w:type="auto"/>
            <w:shd w:val="clear" w:color="auto" w:fill="auto"/>
            <w:vAlign w:val="center"/>
          </w:tcPr>
          <w:p w14:paraId="29E0C2C5">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电脑2台、打印机1台、大班桌1套，1张办公椅、1张长沙发、1张矮茶桌、2张折叠椅、2个双门书柜、1个小矮柜、大纸箱5箱、1台电风扇、1张折叠床、2箱（烧水壶等）</w:t>
            </w:r>
          </w:p>
        </w:tc>
      </w:tr>
      <w:tr w14:paraId="4C9C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A6799F9">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建邦大厦411</w:t>
            </w:r>
          </w:p>
        </w:tc>
        <w:tc>
          <w:tcPr>
            <w:tcW w:w="0" w:type="auto"/>
            <w:shd w:val="clear" w:color="auto" w:fill="auto"/>
            <w:vAlign w:val="center"/>
          </w:tcPr>
          <w:p w14:paraId="596C0496">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6号楼2楼（院内）</w:t>
            </w:r>
          </w:p>
        </w:tc>
        <w:tc>
          <w:tcPr>
            <w:tcW w:w="0" w:type="auto"/>
            <w:shd w:val="clear" w:color="auto" w:fill="auto"/>
            <w:vAlign w:val="center"/>
          </w:tcPr>
          <w:p w14:paraId="11806AF4">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1张大茶桌、4张木椅、1张藤椅、1张小方桌、1张长沙发、1张折叠椅、1个三门矮柜、1台大消毒柜、1台小消毒柜、2箱（茶杯、烧水壶等）</w:t>
            </w:r>
          </w:p>
        </w:tc>
      </w:tr>
      <w:tr w14:paraId="0B62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89085CD">
            <w:pPr>
              <w:keepNext w:val="0"/>
              <w:keepLines w:val="0"/>
              <w:widowControl/>
              <w:suppressLineNumbers w:val="0"/>
              <w:jc w:val="left"/>
              <w:rPr>
                <w:rFonts w:hint="default" w:ascii="宋体" w:hAnsi="宋体" w:eastAsia="宋体" w:cs="宋体"/>
                <w:lang w:val="en-US"/>
              </w:rPr>
            </w:pPr>
            <w:r>
              <w:rPr>
                <w:rFonts w:hint="eastAsia" w:ascii="宋体" w:hAnsi="宋体" w:eastAsia="宋体" w:cs="宋体"/>
                <w:kern w:val="0"/>
                <w:sz w:val="24"/>
                <w:szCs w:val="24"/>
                <w:lang w:val="en-US" w:eastAsia="zh-CN" w:bidi="ar"/>
              </w:rPr>
              <w:t>建邦大厦409</w:t>
            </w:r>
          </w:p>
        </w:tc>
        <w:tc>
          <w:tcPr>
            <w:tcW w:w="0" w:type="auto"/>
            <w:shd w:val="clear" w:color="auto" w:fill="auto"/>
            <w:vAlign w:val="center"/>
          </w:tcPr>
          <w:p w14:paraId="318620A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门诊二楼（院内）</w:t>
            </w:r>
          </w:p>
        </w:tc>
        <w:tc>
          <w:tcPr>
            <w:tcW w:w="0" w:type="auto"/>
            <w:shd w:val="clear" w:color="auto" w:fill="auto"/>
            <w:vAlign w:val="center"/>
          </w:tcPr>
          <w:p w14:paraId="604349E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电脑2台、打印机1台、1套大班桌、1张办公椅、1张矮茶桌、1张长沙发、2张折叠椅、2个双门柜、1个长矮柜、1个小矮柜、纸箱5箱、1幅字画、1台碎纸机、2箱（烧水壶等）</w:t>
            </w:r>
          </w:p>
        </w:tc>
      </w:tr>
      <w:tr w14:paraId="1A96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238F9FF">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人事科、纪检办、院办、党群办（建邦大厦）</w:t>
            </w:r>
          </w:p>
        </w:tc>
        <w:tc>
          <w:tcPr>
            <w:tcW w:w="0" w:type="auto"/>
            <w:shd w:val="clear" w:color="auto" w:fill="auto"/>
            <w:vAlign w:val="center"/>
          </w:tcPr>
          <w:p w14:paraId="413B81FD">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互联网会议室（院内）</w:t>
            </w:r>
          </w:p>
        </w:tc>
        <w:tc>
          <w:tcPr>
            <w:tcW w:w="0" w:type="auto"/>
            <w:shd w:val="clear" w:color="auto" w:fill="auto"/>
            <w:vAlign w:val="center"/>
          </w:tcPr>
          <w:p w14:paraId="6B6EA927">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党委办：</w:t>
            </w:r>
          </w:p>
          <w:p w14:paraId="2ED216B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联想台式计算机3台、联想电脑（内网电脑）1台、双面激光打印机1台、五门书柜1个、二门书柜1个、碎纸机1台、吊柜边柜3个、吊柜矮柜1个，吊柜（800*400规格）2个、吊柜（1200*400规格）1个、格力空调（壁挂）1台、格力空调（柜机）1台、办公桌4张、办公椅3把、木椅子（靠背）2把、木椅子（无靠背）2把、电风扇（立式）1台、座机4部、26个大纸箱</w:t>
            </w:r>
          </w:p>
          <w:p w14:paraId="019C82B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院办：电脑1套、打印机小型1台、打印机大型1台、1张桌子，1把椅子、1个抽屉柜、1个小文件柜、1个层架、大纸箱3箱、电脑4套、打印机小型1台、打印机大型1台、电脑椅4张、屏风工位桌4张（需拆除后搬迁）、双门书柜4个、纸箱8箱、1盆绿植、1台碎纸机、4箱（个人办公用品等）、打印机1台、2张办公桌、2张办公椅、1张小圆桌、2张长桌、2张木椅、2个双门书柜、大纸3箱、1台碎纸机、3箱（办公用品等）</w:t>
            </w:r>
          </w:p>
          <w:p w14:paraId="75419AB2">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人事科：文件12箱、电脑办公桌4张；普通五层文件柜4组；木制矮柜2个；台式电脑5台；打印机3台；人脸考勤机1台；碎纸机1台；</w:t>
            </w:r>
          </w:p>
        </w:tc>
      </w:tr>
      <w:tr w14:paraId="41F9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1D2B7E0">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财务科档案室（建邦大厦）</w:t>
            </w:r>
          </w:p>
        </w:tc>
        <w:tc>
          <w:tcPr>
            <w:tcW w:w="0" w:type="auto"/>
            <w:shd w:val="clear" w:color="auto" w:fill="auto"/>
            <w:vAlign w:val="center"/>
          </w:tcPr>
          <w:p w14:paraId="0F23B964">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总务科档案室（院内）</w:t>
            </w:r>
          </w:p>
        </w:tc>
        <w:tc>
          <w:tcPr>
            <w:tcW w:w="0" w:type="auto"/>
            <w:shd w:val="clear" w:color="auto" w:fill="auto"/>
            <w:vAlign w:val="center"/>
          </w:tcPr>
          <w:p w14:paraId="4A39DE5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凭证铁皮柜45个，木柜子2个（两个各5层10层）木大柜子2个；一个凭证柜34本，凭证估计1870本</w:t>
            </w:r>
          </w:p>
        </w:tc>
      </w:tr>
      <w:tr w14:paraId="6C93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371D58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运营管理科（建邦大厦）</w:t>
            </w:r>
          </w:p>
        </w:tc>
        <w:tc>
          <w:tcPr>
            <w:tcW w:w="0" w:type="auto"/>
            <w:shd w:val="clear" w:color="auto" w:fill="auto"/>
            <w:vAlign w:val="center"/>
          </w:tcPr>
          <w:p w14:paraId="06A22F86">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原超声科（院内）</w:t>
            </w:r>
          </w:p>
        </w:tc>
        <w:tc>
          <w:tcPr>
            <w:tcW w:w="0" w:type="auto"/>
            <w:shd w:val="clear" w:color="auto" w:fill="auto"/>
            <w:vAlign w:val="center"/>
          </w:tcPr>
          <w:p w14:paraId="70E4B98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办公桌3张、大文件柜1张、矮柜4张、六门更衣柜1张、办公椅3张、电脑3套、打印机1台、午休床2张、文件材料2箱；余下若干物品3箱</w:t>
            </w:r>
          </w:p>
        </w:tc>
      </w:tr>
      <w:tr w14:paraId="00EC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7A9B2C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医保办+审计科（建邦大厦）</w:t>
            </w:r>
          </w:p>
        </w:tc>
        <w:tc>
          <w:tcPr>
            <w:tcW w:w="0" w:type="auto"/>
            <w:shd w:val="clear" w:color="auto" w:fill="auto"/>
            <w:vAlign w:val="center"/>
          </w:tcPr>
          <w:p w14:paraId="2258D448">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原超声科（院内）</w:t>
            </w:r>
          </w:p>
        </w:tc>
        <w:tc>
          <w:tcPr>
            <w:tcW w:w="0" w:type="auto"/>
            <w:shd w:val="clear" w:color="auto" w:fill="auto"/>
            <w:vAlign w:val="center"/>
          </w:tcPr>
          <w:p w14:paraId="4B88B632">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医保办：办公桌4张、办公椅4张、文件柜3个，铁皮柜1个，电脑5台，打印机3台，茶水桌1张普通椅子2张、大纸箱18个</w:t>
            </w:r>
          </w:p>
          <w:p w14:paraId="598431B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审计科:</w:t>
            </w:r>
          </w:p>
          <w:p w14:paraId="0399D8F6">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1.三门书柜2个:(2m*1.2m*0.4m)2个;</w:t>
            </w:r>
          </w:p>
          <w:p w14:paraId="2EC77840">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2.电脑桌2张:(1.38m*0.6m*0.75m)2张;</w:t>
            </w:r>
          </w:p>
          <w:p w14:paraId="778DDE5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3.木质桌子2张:(0.7m*0.5m*0.8m)1张，</w:t>
            </w:r>
          </w:p>
          <w:p w14:paraId="34071C8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(1.1m*0.5m*0.7m)1张;</w:t>
            </w:r>
          </w:p>
          <w:p w14:paraId="3B27E5BF">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4.木质柜子1张:(1.2m*0.45m*0.76m)1张;</w:t>
            </w:r>
          </w:p>
          <w:p w14:paraId="431BA66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5.椅子4张;</w:t>
            </w:r>
          </w:p>
          <w:p w14:paraId="7D934B71">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6.木质沙发1张(1.7m*0.66m);</w:t>
            </w:r>
          </w:p>
          <w:p w14:paraId="7E599C46">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7.纸箱(装档案)约25-30个。</w:t>
            </w:r>
          </w:p>
          <w:p w14:paraId="14AE5AE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8.电脑三台，打印机两台;</w:t>
            </w:r>
          </w:p>
        </w:tc>
      </w:tr>
      <w:tr w14:paraId="05E6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1C2A33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建邦大厦405</w:t>
            </w:r>
          </w:p>
        </w:tc>
        <w:tc>
          <w:tcPr>
            <w:tcW w:w="0" w:type="auto"/>
            <w:shd w:val="clear" w:color="auto" w:fill="auto"/>
            <w:vAlign w:val="center"/>
          </w:tcPr>
          <w:p w14:paraId="6E703793">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原超声科（院内）</w:t>
            </w:r>
          </w:p>
        </w:tc>
        <w:tc>
          <w:tcPr>
            <w:tcW w:w="0" w:type="auto"/>
            <w:shd w:val="clear" w:color="auto" w:fill="auto"/>
            <w:vAlign w:val="center"/>
          </w:tcPr>
          <w:p w14:paraId="6DD17ED5">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电脑2台、打印机1台、1套L型办公桌、1张办公椅、1张矮茶桌、1张长沙发、3个双门书柜、2个小矮柜、1个长矮柜、纸箱5箱、1盆绿植、1台电风扇、2箱（烧水壶等）</w:t>
            </w:r>
          </w:p>
        </w:tc>
      </w:tr>
      <w:tr w14:paraId="4709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68" w:hRule="atLeast"/>
          <w:tblCellSpacing w:w="15" w:type="dxa"/>
        </w:trPr>
        <w:tc>
          <w:tcPr>
            <w:tcW w:w="0" w:type="auto"/>
            <w:shd w:val="clear" w:color="auto" w:fill="auto"/>
            <w:vAlign w:val="center"/>
          </w:tcPr>
          <w:p w14:paraId="00AE65F5">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408财务科</w:t>
            </w:r>
          </w:p>
        </w:tc>
        <w:tc>
          <w:tcPr>
            <w:tcW w:w="0" w:type="auto"/>
            <w:tcBorders/>
            <w:shd w:val="clear" w:color="auto" w:fill="auto"/>
            <w:vAlign w:val="center"/>
          </w:tcPr>
          <w:p w14:paraId="7981F93D">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原超声科（院内）</w:t>
            </w:r>
          </w:p>
        </w:tc>
        <w:tc>
          <w:tcPr>
            <w:tcW w:w="0" w:type="auto"/>
            <w:shd w:val="clear" w:color="auto" w:fill="auto"/>
            <w:vAlign w:val="center"/>
          </w:tcPr>
          <w:p w14:paraId="0FBE3CA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6个木柜子、屏风办公桌8个（需拆装）、12个矮柜、大纸箱60个</w:t>
            </w:r>
          </w:p>
        </w:tc>
      </w:tr>
      <w:tr w14:paraId="00EE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7B55EF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1号楼202（住院总）（院内）</w:t>
            </w:r>
          </w:p>
        </w:tc>
        <w:tc>
          <w:tcPr>
            <w:tcW w:w="0" w:type="auto"/>
            <w:shd w:val="clear" w:color="auto" w:fill="auto"/>
            <w:vAlign w:val="center"/>
          </w:tcPr>
          <w:p w14:paraId="7A9E8A1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2号楼404（院内）</w:t>
            </w:r>
          </w:p>
        </w:tc>
        <w:tc>
          <w:tcPr>
            <w:tcW w:w="0" w:type="auto"/>
            <w:shd w:val="clear" w:color="auto" w:fill="auto"/>
            <w:vAlign w:val="center"/>
          </w:tcPr>
          <w:p w14:paraId="1FB723C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床1张、桌子2张、柜子2张</w:t>
            </w:r>
          </w:p>
        </w:tc>
      </w:tr>
      <w:tr w14:paraId="6274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9E8CE0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1号楼202（设备科档案室）（院内）</w:t>
            </w:r>
          </w:p>
        </w:tc>
        <w:tc>
          <w:tcPr>
            <w:tcW w:w="0" w:type="auto"/>
            <w:shd w:val="clear" w:color="auto" w:fill="auto"/>
            <w:vAlign w:val="center"/>
          </w:tcPr>
          <w:p w14:paraId="273700C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5号楼裙楼（院内）</w:t>
            </w:r>
          </w:p>
        </w:tc>
        <w:tc>
          <w:tcPr>
            <w:tcW w:w="0" w:type="auto"/>
            <w:shd w:val="clear" w:color="auto" w:fill="auto"/>
            <w:vAlign w:val="center"/>
          </w:tcPr>
          <w:p w14:paraId="024D2B2E">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柜子3个，铁皮柜12个</w:t>
            </w:r>
          </w:p>
        </w:tc>
      </w:tr>
      <w:tr w14:paraId="7995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E58796F">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总务科1、2、3（院内）</w:t>
            </w:r>
          </w:p>
        </w:tc>
        <w:tc>
          <w:tcPr>
            <w:tcW w:w="0" w:type="auto"/>
            <w:shd w:val="clear" w:color="auto" w:fill="auto"/>
            <w:vAlign w:val="center"/>
          </w:tcPr>
          <w:p w14:paraId="468DDFC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2号楼102（院内）</w:t>
            </w:r>
          </w:p>
        </w:tc>
        <w:tc>
          <w:tcPr>
            <w:tcW w:w="0" w:type="auto"/>
            <w:shd w:val="clear" w:color="auto" w:fill="auto"/>
            <w:vAlign w:val="center"/>
          </w:tcPr>
          <w:p w14:paraId="0A2D329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铁皮柜61层、柜子9个、办公桌6张、电脑椅7张、电脑8台、打印机若干台，会客桌椅1套、大纸箱20箱</w:t>
            </w:r>
          </w:p>
        </w:tc>
      </w:tr>
      <w:tr w14:paraId="41D4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67521E2">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设备科（院内）</w:t>
            </w:r>
          </w:p>
        </w:tc>
        <w:tc>
          <w:tcPr>
            <w:tcW w:w="0" w:type="auto"/>
            <w:shd w:val="clear" w:color="auto" w:fill="auto"/>
            <w:vAlign w:val="center"/>
          </w:tcPr>
          <w:p w14:paraId="607BC3FD">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1号楼202（院内）</w:t>
            </w:r>
          </w:p>
        </w:tc>
        <w:tc>
          <w:tcPr>
            <w:tcW w:w="0" w:type="auto"/>
            <w:shd w:val="clear" w:color="auto" w:fill="auto"/>
            <w:vAlign w:val="center"/>
          </w:tcPr>
          <w:p w14:paraId="5C18C49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柜子2个，桌子5张，电脑5套</w:t>
            </w:r>
          </w:p>
        </w:tc>
      </w:tr>
      <w:tr w14:paraId="6928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33B7303">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2号楼102（行政总值班、中层值班室）（院内）</w:t>
            </w:r>
          </w:p>
        </w:tc>
        <w:tc>
          <w:tcPr>
            <w:tcW w:w="0" w:type="auto"/>
            <w:shd w:val="clear" w:color="auto" w:fill="auto"/>
            <w:vAlign w:val="center"/>
          </w:tcPr>
          <w:p w14:paraId="1CACDED1">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3号楼406（院内）</w:t>
            </w:r>
          </w:p>
        </w:tc>
        <w:tc>
          <w:tcPr>
            <w:tcW w:w="0" w:type="auto"/>
            <w:shd w:val="clear" w:color="auto" w:fill="auto"/>
            <w:vAlign w:val="center"/>
          </w:tcPr>
          <w:p w14:paraId="389A20F8">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2张桌子、2把沙发椅、2个床头柜、2个铁皮文件柜、1个木质文件柜、2张床铺、5箱生活用品</w:t>
            </w:r>
          </w:p>
        </w:tc>
      </w:tr>
      <w:tr w14:paraId="1BB2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C7D2793">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2号楼102（医生二线值班室）（院内）</w:t>
            </w:r>
          </w:p>
        </w:tc>
        <w:tc>
          <w:tcPr>
            <w:tcW w:w="0" w:type="auto"/>
            <w:shd w:val="clear" w:color="auto" w:fill="auto"/>
            <w:vAlign w:val="center"/>
          </w:tcPr>
          <w:p w14:paraId="61DAA260">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2号楼404（院内）</w:t>
            </w:r>
          </w:p>
        </w:tc>
        <w:tc>
          <w:tcPr>
            <w:tcW w:w="0" w:type="auto"/>
            <w:shd w:val="clear" w:color="auto" w:fill="auto"/>
            <w:vAlign w:val="center"/>
          </w:tcPr>
          <w:p w14:paraId="6B6B817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床1张、柜子2个、书柜2个、物品4箱</w:t>
            </w:r>
          </w:p>
        </w:tc>
      </w:tr>
      <w:tr w14:paraId="6C8B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2E3AE5D">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（3号楼旁）病理室仓库（院内）</w:t>
            </w:r>
          </w:p>
        </w:tc>
        <w:tc>
          <w:tcPr>
            <w:tcW w:w="0" w:type="auto"/>
            <w:shd w:val="clear" w:color="auto" w:fill="auto"/>
            <w:vAlign w:val="center"/>
          </w:tcPr>
          <w:p w14:paraId="2F36C436">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健教所4楼</w:t>
            </w:r>
          </w:p>
        </w:tc>
        <w:tc>
          <w:tcPr>
            <w:tcW w:w="0" w:type="auto"/>
            <w:shd w:val="clear" w:color="auto" w:fill="auto"/>
            <w:vAlign w:val="center"/>
          </w:tcPr>
          <w:p w14:paraId="57D4FE3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切片柜18组，蜡块柜24组，资料箱36个</w:t>
            </w:r>
          </w:p>
        </w:tc>
      </w:tr>
      <w:tr w14:paraId="2C0F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A1084A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（3号楼旁）药学部档案（院内）</w:t>
            </w:r>
          </w:p>
        </w:tc>
        <w:tc>
          <w:tcPr>
            <w:tcW w:w="0" w:type="auto"/>
            <w:shd w:val="clear" w:color="auto" w:fill="auto"/>
            <w:vAlign w:val="center"/>
          </w:tcPr>
          <w:p w14:paraId="744F2BD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健教所4楼</w:t>
            </w:r>
          </w:p>
        </w:tc>
        <w:tc>
          <w:tcPr>
            <w:tcW w:w="0" w:type="auto"/>
            <w:shd w:val="clear" w:color="auto" w:fill="auto"/>
            <w:vAlign w:val="center"/>
          </w:tcPr>
          <w:p w14:paraId="6E8FB75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文件柜3个、层架2个、电脑1台、精密分析仪1台、药剂科共有资料3个文件柜、大纸箱1箱件、药库资料30箱、中药房资料14箱、普通处方及二类精神药品处方28箱、层架11个、不锈钢推车2辆</w:t>
            </w:r>
          </w:p>
        </w:tc>
      </w:tr>
      <w:tr w14:paraId="3571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5727BD9">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（3号楼旁）驾驶班（院内）</w:t>
            </w:r>
          </w:p>
        </w:tc>
        <w:tc>
          <w:tcPr>
            <w:tcW w:w="0" w:type="auto"/>
            <w:shd w:val="clear" w:color="auto" w:fill="auto"/>
            <w:vAlign w:val="center"/>
          </w:tcPr>
          <w:p w14:paraId="288CF31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5号楼病案室</w:t>
            </w:r>
          </w:p>
        </w:tc>
        <w:tc>
          <w:tcPr>
            <w:tcW w:w="0" w:type="auto"/>
            <w:shd w:val="clear" w:color="auto" w:fill="auto"/>
            <w:vAlign w:val="center"/>
          </w:tcPr>
          <w:p w14:paraId="39A05AD3">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电脑2套，电脑桌2张，电脑椅2张，打印机1台，文件柜2个，纸箱12个</w:t>
            </w:r>
          </w:p>
        </w:tc>
      </w:tr>
      <w:tr w14:paraId="2698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46B2B8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病案室（院内）</w:t>
            </w:r>
          </w:p>
        </w:tc>
        <w:tc>
          <w:tcPr>
            <w:tcW w:w="0" w:type="auto"/>
            <w:shd w:val="clear" w:color="auto" w:fill="auto"/>
            <w:vAlign w:val="center"/>
          </w:tcPr>
          <w:p w14:paraId="0D4C642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病理室仓库（院内）</w:t>
            </w:r>
          </w:p>
        </w:tc>
        <w:tc>
          <w:tcPr>
            <w:tcW w:w="0" w:type="auto"/>
            <w:shd w:val="clear" w:color="auto" w:fill="auto"/>
            <w:vAlign w:val="center"/>
          </w:tcPr>
          <w:p w14:paraId="1A26CF61">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桌子6张、椅子5张、架子1个、铁皮柜6个、打印机2台、电话3部、电脑3台，主机4台、茶几2张、微波炉1台、碎纸机1台、冰箱1台、紫外线灯1台、病历30箱</w:t>
            </w:r>
          </w:p>
        </w:tc>
      </w:tr>
      <w:tr w14:paraId="1203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61" w:hRule="atLeast"/>
          <w:tblCellSpacing w:w="15" w:type="dxa"/>
        </w:trPr>
        <w:tc>
          <w:tcPr>
            <w:tcW w:w="0" w:type="auto"/>
            <w:shd w:val="clear" w:color="auto" w:fill="auto"/>
            <w:vAlign w:val="center"/>
          </w:tcPr>
          <w:p w14:paraId="70A29FE9">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药剂科（建邦大厦）</w:t>
            </w:r>
          </w:p>
        </w:tc>
        <w:tc>
          <w:tcPr>
            <w:tcW w:w="0" w:type="auto"/>
            <w:shd w:val="clear" w:color="auto" w:fill="auto"/>
            <w:vAlign w:val="center"/>
          </w:tcPr>
          <w:p w14:paraId="03BC089F">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互联网会议室（院内）</w:t>
            </w:r>
          </w:p>
        </w:tc>
        <w:tc>
          <w:tcPr>
            <w:tcW w:w="0" w:type="auto"/>
            <w:shd w:val="clear" w:color="auto" w:fill="auto"/>
            <w:vAlign w:val="center"/>
          </w:tcPr>
          <w:p w14:paraId="059CF09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屏风桌4人工位（需拆装），6门衣柜1套，玻璃门器械柜3个，椅子8张。办公桌1张，书籍、资料10大箱。电脑7台，打印机2台</w:t>
            </w:r>
          </w:p>
        </w:tc>
      </w:tr>
      <w:tr w14:paraId="04DB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88" w:hRule="atLeast"/>
          <w:tblCellSpacing w:w="15" w:type="dxa"/>
        </w:trPr>
        <w:tc>
          <w:tcPr>
            <w:tcW w:w="0" w:type="auto"/>
            <w:shd w:val="clear" w:color="auto" w:fill="auto"/>
            <w:vAlign w:val="center"/>
          </w:tcPr>
          <w:p w14:paraId="2C55EF8E">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5号楼负一楼财务档案室（2间）（院内）</w:t>
            </w:r>
          </w:p>
        </w:tc>
        <w:tc>
          <w:tcPr>
            <w:tcW w:w="0" w:type="auto"/>
            <w:shd w:val="clear" w:color="auto" w:fill="auto"/>
            <w:vAlign w:val="center"/>
          </w:tcPr>
          <w:p w14:paraId="700257E8">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健教所4楼</w:t>
            </w:r>
          </w:p>
        </w:tc>
        <w:tc>
          <w:tcPr>
            <w:tcW w:w="0" w:type="auto"/>
            <w:shd w:val="clear" w:color="auto" w:fill="auto"/>
            <w:vAlign w:val="center"/>
          </w:tcPr>
          <w:p w14:paraId="59D6D6A5">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12个铁皮柜及凭证4680本装137个铁皮柜（共18年凭证2001</w:t>
            </w:r>
            <w:r>
              <w:rPr>
                <w:rFonts w:hint="eastAsia" w:ascii="宋体" w:hAnsi="宋体" w:eastAsia="宋体" w:cs="宋体"/>
                <w:kern w:val="0"/>
                <w:sz w:val="24"/>
                <w:szCs w:val="24"/>
                <w:lang w:val="en-US" w:eastAsia="zh-CN" w:bidi="ar"/>
              </w:rPr>
              <w:noBreakHyphen/>
            </w:r>
            <w:r>
              <w:rPr>
                <w:rFonts w:hint="eastAsia" w:ascii="宋体" w:hAnsi="宋体" w:eastAsia="宋体" w:cs="宋体"/>
                <w:kern w:val="0"/>
                <w:sz w:val="24"/>
                <w:szCs w:val="24"/>
                <w:lang w:val="en-US" w:eastAsia="zh-CN" w:bidi="ar"/>
              </w:rPr>
              <w:t>2018年）；107房间56个铁皮柜（18个空）及凭证（9年凭证21、20、19、95</w:t>
            </w:r>
            <w:r>
              <w:rPr>
                <w:rFonts w:hint="eastAsia" w:ascii="宋体" w:hAnsi="宋体" w:eastAsia="宋体" w:cs="宋体"/>
                <w:kern w:val="0"/>
                <w:sz w:val="24"/>
                <w:szCs w:val="24"/>
                <w:lang w:val="en-US" w:eastAsia="zh-CN" w:bidi="ar"/>
              </w:rPr>
              <w:noBreakHyphen/>
            </w:r>
            <w:r>
              <w:rPr>
                <w:rFonts w:hint="eastAsia" w:ascii="宋体" w:hAnsi="宋体" w:eastAsia="宋体" w:cs="宋体"/>
                <w:kern w:val="0"/>
                <w:sz w:val="24"/>
                <w:szCs w:val="24"/>
                <w:lang w:val="en-US" w:eastAsia="zh-CN" w:bidi="ar"/>
              </w:rPr>
              <w:t>00年）2880本装84个铁皮柜</w:t>
            </w:r>
          </w:p>
        </w:tc>
      </w:tr>
      <w:tr w14:paraId="58F8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26204D5">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医教部、护理部档案（建邦大厦）</w:t>
            </w:r>
          </w:p>
        </w:tc>
        <w:tc>
          <w:tcPr>
            <w:tcW w:w="0" w:type="auto"/>
            <w:shd w:val="clear" w:color="auto" w:fill="auto"/>
            <w:vAlign w:val="center"/>
          </w:tcPr>
          <w:p w14:paraId="1DC5DB65">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5号楼负一楼原病案室仓库（院内）</w:t>
            </w:r>
          </w:p>
        </w:tc>
        <w:tc>
          <w:tcPr>
            <w:tcW w:w="0" w:type="auto"/>
            <w:shd w:val="clear" w:color="auto" w:fill="auto"/>
            <w:vAlign w:val="center"/>
          </w:tcPr>
          <w:p w14:paraId="4CCFA50D">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大纸箱30箱</w:t>
            </w:r>
          </w:p>
        </w:tc>
      </w:tr>
      <w:tr w14:paraId="62F7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97" w:hRule="atLeast"/>
          <w:tblCellSpacing w:w="15" w:type="dxa"/>
        </w:trPr>
        <w:tc>
          <w:tcPr>
            <w:tcW w:w="0" w:type="auto"/>
            <w:shd w:val="clear" w:color="auto" w:fill="auto"/>
            <w:vAlign w:val="center"/>
          </w:tcPr>
          <w:p w14:paraId="6766863F">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档案室（院办、人事）（建邦大厦）</w:t>
            </w:r>
          </w:p>
        </w:tc>
        <w:tc>
          <w:tcPr>
            <w:tcW w:w="0" w:type="auto"/>
            <w:shd w:val="clear" w:color="auto" w:fill="auto"/>
            <w:vAlign w:val="center"/>
          </w:tcPr>
          <w:p w14:paraId="0F42E501">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5号楼负一楼原病案室仓库（院内）</w:t>
            </w:r>
          </w:p>
        </w:tc>
        <w:tc>
          <w:tcPr>
            <w:tcW w:w="0" w:type="auto"/>
            <w:shd w:val="clear" w:color="auto" w:fill="auto"/>
            <w:vAlign w:val="center"/>
          </w:tcPr>
          <w:p w14:paraId="0B8BFC9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院办：电脑1套、1张桌子、59个档案柜、1个机要柜、档案材料70箱、3箱（其他物品）、1台除湿机、1台电风扇、5幅字画</w:t>
            </w:r>
          </w:p>
          <w:p w14:paraId="7DDA90E2">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人事科：文件70箱；除湿机1台、电脑办公桌若干张；五层铁皮文件柜9组；台式电脑1台；打印机1台；档案室入侵报警监控装置1套</w:t>
            </w:r>
          </w:p>
        </w:tc>
      </w:tr>
      <w:tr w14:paraId="48C7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685D8A1">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财务科+审计科档案室（建邦大厦）</w:t>
            </w:r>
          </w:p>
        </w:tc>
        <w:tc>
          <w:tcPr>
            <w:tcW w:w="0" w:type="auto"/>
            <w:shd w:val="clear" w:color="auto" w:fill="auto"/>
            <w:vAlign w:val="center"/>
          </w:tcPr>
          <w:p w14:paraId="515EA68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5号楼负一楼原财务科仓库（院内）</w:t>
            </w:r>
          </w:p>
        </w:tc>
        <w:tc>
          <w:tcPr>
            <w:tcW w:w="0" w:type="auto"/>
            <w:shd w:val="clear" w:color="auto" w:fill="auto"/>
            <w:vAlign w:val="center"/>
          </w:tcPr>
          <w:p w14:paraId="2C6C0FA0">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大纸箱40箱</w:t>
            </w:r>
          </w:p>
        </w:tc>
      </w:tr>
      <w:tr w14:paraId="4E92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5FD5C5D">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设备科、信息科仓库（院内）</w:t>
            </w:r>
          </w:p>
        </w:tc>
        <w:tc>
          <w:tcPr>
            <w:tcW w:w="0" w:type="auto"/>
            <w:shd w:val="clear" w:color="auto" w:fill="auto"/>
            <w:vAlign w:val="center"/>
          </w:tcPr>
          <w:p w14:paraId="11E6AFD3">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5号楼负一楼原财务科仓库（院内）</w:t>
            </w:r>
          </w:p>
        </w:tc>
        <w:tc>
          <w:tcPr>
            <w:tcW w:w="0" w:type="auto"/>
            <w:shd w:val="clear" w:color="auto" w:fill="auto"/>
            <w:vAlign w:val="center"/>
          </w:tcPr>
          <w:p w14:paraId="075D703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大纸箱40箱</w:t>
            </w:r>
          </w:p>
        </w:tc>
      </w:tr>
      <w:tr w14:paraId="20DC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4918A1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医教部（建邦大厦）</w:t>
            </w:r>
          </w:p>
        </w:tc>
        <w:tc>
          <w:tcPr>
            <w:tcW w:w="0" w:type="auto"/>
            <w:shd w:val="clear" w:color="auto" w:fill="auto"/>
            <w:vAlign w:val="center"/>
          </w:tcPr>
          <w:p w14:paraId="6A6BA312">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5号楼设备科耗材仓库1、2（院内）</w:t>
            </w:r>
          </w:p>
        </w:tc>
        <w:tc>
          <w:tcPr>
            <w:tcW w:w="0" w:type="auto"/>
            <w:shd w:val="clear" w:color="auto" w:fill="auto"/>
            <w:vAlign w:val="center"/>
          </w:tcPr>
          <w:p w14:paraId="34F07FCE">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工位书桌（含配套柜子）：8件；椅子：8件；书柜：14件；铁皮柜：9件；纸箱：85件；空调：2件；电脑：9台；打印机：7台；移动矮柜：8件；午休床：5件；风扇：1台；碎纸机：1台；高拍仪：1台；礼堂桌：2张</w:t>
            </w:r>
          </w:p>
        </w:tc>
      </w:tr>
      <w:tr w14:paraId="4EED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16" w:hRule="atLeast"/>
          <w:tblCellSpacing w:w="15" w:type="dxa"/>
        </w:trPr>
        <w:tc>
          <w:tcPr>
            <w:tcW w:w="0" w:type="auto"/>
            <w:shd w:val="clear" w:color="auto" w:fill="auto"/>
            <w:vAlign w:val="center"/>
          </w:tcPr>
          <w:p w14:paraId="45387803">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护理部（建邦大厦）</w:t>
            </w:r>
          </w:p>
        </w:tc>
        <w:tc>
          <w:tcPr>
            <w:tcW w:w="0" w:type="auto"/>
            <w:shd w:val="clear" w:color="auto" w:fill="auto"/>
            <w:vAlign w:val="center"/>
          </w:tcPr>
          <w:p w14:paraId="211985B2">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门诊办（院内）</w:t>
            </w:r>
          </w:p>
        </w:tc>
        <w:tc>
          <w:tcPr>
            <w:tcW w:w="0" w:type="auto"/>
            <w:shd w:val="clear" w:color="auto" w:fill="auto"/>
            <w:vAlign w:val="center"/>
          </w:tcPr>
          <w:p w14:paraId="5A34AFC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液晶显示器1；五门书柜2；矮柜1；侧柜2；办公椅子4；电脑办公桌：5；打印机1；电脑数量4；笔记本电脑3；会客桌椅1套；大纸箱22箱</w:t>
            </w:r>
          </w:p>
        </w:tc>
      </w:tr>
      <w:tr w14:paraId="3E47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89" w:hRule="atLeast"/>
          <w:tblCellSpacing w:w="15" w:type="dxa"/>
        </w:trPr>
        <w:tc>
          <w:tcPr>
            <w:tcW w:w="0" w:type="auto"/>
            <w:shd w:val="clear" w:color="auto" w:fill="auto"/>
            <w:vAlign w:val="center"/>
          </w:tcPr>
          <w:p w14:paraId="43B9E459">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院感科2人、药剂科2人（建邦大厦）</w:t>
            </w:r>
          </w:p>
        </w:tc>
        <w:tc>
          <w:tcPr>
            <w:tcW w:w="0" w:type="auto"/>
            <w:shd w:val="clear" w:color="auto" w:fill="auto"/>
            <w:vAlign w:val="center"/>
          </w:tcPr>
          <w:p w14:paraId="25888A16">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医保办（院内）</w:t>
            </w:r>
          </w:p>
        </w:tc>
        <w:tc>
          <w:tcPr>
            <w:tcW w:w="0" w:type="auto"/>
            <w:shd w:val="clear" w:color="auto" w:fill="auto"/>
            <w:vAlign w:val="center"/>
          </w:tcPr>
          <w:p w14:paraId="7A068AC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院感科：办公桌3张、办公椅3个、床头柜1个、会客桌椅1套、电脑4台、打印机1台、文件柜1个、箱子22个</w:t>
            </w:r>
          </w:p>
        </w:tc>
      </w:tr>
      <w:tr w14:paraId="2774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04" w:hRule="atLeast"/>
          <w:tblCellSpacing w:w="15" w:type="dxa"/>
        </w:trPr>
        <w:tc>
          <w:tcPr>
            <w:tcW w:w="0" w:type="auto"/>
            <w:shd w:val="clear" w:color="auto" w:fill="auto"/>
            <w:vAlign w:val="center"/>
          </w:tcPr>
          <w:p w14:paraId="175938E4">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保卫科（院内）</w:t>
            </w:r>
          </w:p>
        </w:tc>
        <w:tc>
          <w:tcPr>
            <w:tcW w:w="0" w:type="auto"/>
            <w:shd w:val="clear" w:color="auto" w:fill="auto"/>
            <w:vAlign w:val="center"/>
          </w:tcPr>
          <w:p w14:paraId="477B9F68">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病案室（院内）</w:t>
            </w:r>
          </w:p>
        </w:tc>
        <w:tc>
          <w:tcPr>
            <w:tcW w:w="0" w:type="auto"/>
            <w:shd w:val="clear" w:color="auto" w:fill="auto"/>
            <w:vAlign w:val="center"/>
          </w:tcPr>
          <w:p w14:paraId="705792F9">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电脑3套，打印机2台，两张办公桌，两个灰色文件柜，两个边柜，椅子6张，保险箱1个，纸箱12个</w:t>
            </w:r>
          </w:p>
        </w:tc>
      </w:tr>
      <w:tr w14:paraId="4AE8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16B5048">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5号楼设备科耗材仓库1（院内）</w:t>
            </w:r>
          </w:p>
        </w:tc>
        <w:tc>
          <w:tcPr>
            <w:tcW w:w="0" w:type="auto"/>
            <w:shd w:val="clear" w:color="auto" w:fill="auto"/>
            <w:vAlign w:val="center"/>
          </w:tcPr>
          <w:p w14:paraId="4BFA0730">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病房楼负一楼（原中心药房）（院内）</w:t>
            </w:r>
          </w:p>
        </w:tc>
        <w:tc>
          <w:tcPr>
            <w:tcW w:w="0" w:type="auto"/>
            <w:vMerge w:val="restart"/>
            <w:shd w:val="clear" w:color="auto" w:fill="auto"/>
            <w:vAlign w:val="center"/>
          </w:tcPr>
          <w:p w14:paraId="05276B6E">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货架25个左右，柜子2个，桌子3张，耗材箱子500个左右，灭火器2个，电脑2套</w:t>
            </w:r>
          </w:p>
          <w:p w14:paraId="1D4727BE">
            <w:pPr>
              <w:keepNext w:val="0"/>
              <w:keepLines w:val="0"/>
              <w:widowControl/>
              <w:suppressLineNumbers w:val="0"/>
              <w:tabs>
                <w:tab w:val="left" w:pos="1597"/>
              </w:tabs>
              <w:jc w:val="left"/>
              <w:rPr>
                <w:rFonts w:hint="eastAsia" w:ascii="宋体" w:hAnsi="宋体" w:eastAsia="宋体" w:cs="宋体"/>
              </w:rPr>
            </w:pPr>
          </w:p>
        </w:tc>
      </w:tr>
      <w:tr w14:paraId="7E4A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6CFA79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5号楼设备科耗材仓库2（院内）</w:t>
            </w:r>
          </w:p>
        </w:tc>
        <w:tc>
          <w:tcPr>
            <w:tcW w:w="0" w:type="auto"/>
            <w:shd w:val="clear" w:color="auto" w:fill="auto"/>
            <w:vAlign w:val="center"/>
          </w:tcPr>
          <w:p w14:paraId="054E9C5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病房楼负一楼（原中心药房）（院内）</w:t>
            </w:r>
          </w:p>
        </w:tc>
        <w:tc>
          <w:tcPr>
            <w:tcW w:w="0" w:type="auto"/>
            <w:vMerge w:val="continue"/>
            <w:shd w:val="clear" w:color="auto" w:fill="auto"/>
            <w:vAlign w:val="center"/>
          </w:tcPr>
          <w:p w14:paraId="42BFADD2">
            <w:pPr>
              <w:keepNext w:val="0"/>
              <w:keepLines w:val="0"/>
              <w:widowControl/>
              <w:suppressLineNumbers w:val="0"/>
              <w:tabs>
                <w:tab w:val="left" w:pos="1597"/>
              </w:tabs>
              <w:jc w:val="left"/>
              <w:rPr>
                <w:rFonts w:hint="eastAsia" w:ascii="宋体" w:hAnsi="宋体" w:eastAsia="宋体" w:cs="宋体"/>
              </w:rPr>
            </w:pPr>
          </w:p>
        </w:tc>
      </w:tr>
      <w:tr w14:paraId="2AFC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66CB75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5号楼裙楼病案室仓库（院内）</w:t>
            </w:r>
          </w:p>
        </w:tc>
        <w:tc>
          <w:tcPr>
            <w:tcW w:w="0" w:type="auto"/>
            <w:shd w:val="clear" w:color="auto" w:fill="auto"/>
            <w:vAlign w:val="center"/>
          </w:tcPr>
          <w:p w14:paraId="74ED59B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一部分食堂边档案室、一部分健教所1楼</w:t>
            </w:r>
          </w:p>
        </w:tc>
        <w:tc>
          <w:tcPr>
            <w:tcW w:w="0" w:type="auto"/>
            <w:shd w:val="clear" w:color="auto" w:fill="auto"/>
            <w:vAlign w:val="center"/>
          </w:tcPr>
          <w:p w14:paraId="32F781F0">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健教所：15个架子，箱子1050个；食堂：770箱</w:t>
            </w:r>
          </w:p>
        </w:tc>
      </w:tr>
      <w:tr w14:paraId="4311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46" w:hRule="atLeast"/>
          <w:tblCellSpacing w:w="15" w:type="dxa"/>
        </w:trPr>
        <w:tc>
          <w:tcPr>
            <w:tcW w:w="0" w:type="auto"/>
            <w:shd w:val="clear" w:color="auto" w:fill="auto"/>
            <w:vAlign w:val="center"/>
          </w:tcPr>
          <w:p w14:paraId="020142C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308会议室家具（建邦大厦）</w:t>
            </w:r>
          </w:p>
        </w:tc>
        <w:tc>
          <w:tcPr>
            <w:tcW w:w="0" w:type="auto"/>
            <w:shd w:val="clear" w:color="auto" w:fill="auto"/>
            <w:vAlign w:val="center"/>
          </w:tcPr>
          <w:p w14:paraId="026CE945">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病房楼负一楼会议室（院内）</w:t>
            </w:r>
          </w:p>
        </w:tc>
        <w:tc>
          <w:tcPr>
            <w:tcW w:w="0" w:type="auto"/>
            <w:shd w:val="clear" w:color="auto" w:fill="auto"/>
            <w:vAlign w:val="center"/>
          </w:tcPr>
          <w:p w14:paraId="17A606B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5张单人桌、9张2人桌、11张3人桌、50张单人椅、10张塑料凳、2个置物架、1张演讲台、2个音箱、3台电风扇、1个机柜、3箱（奖牌等）</w:t>
            </w:r>
          </w:p>
        </w:tc>
      </w:tr>
      <w:tr w14:paraId="42F4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8D78878">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互联网会议室家具（院内）</w:t>
            </w:r>
          </w:p>
        </w:tc>
        <w:tc>
          <w:tcPr>
            <w:tcW w:w="0" w:type="auto"/>
            <w:shd w:val="clear" w:color="auto" w:fill="auto"/>
            <w:vAlign w:val="center"/>
          </w:tcPr>
          <w:p w14:paraId="118A444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病房楼负一楼会议室（院内）</w:t>
            </w:r>
          </w:p>
        </w:tc>
        <w:tc>
          <w:tcPr>
            <w:tcW w:w="0" w:type="auto"/>
            <w:shd w:val="clear" w:color="auto" w:fill="auto"/>
            <w:vAlign w:val="center"/>
          </w:tcPr>
          <w:p w14:paraId="266453B7">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多功能桌1张、会议椅30张、讲台1个、茶水柜1个、纸箱2箱</w:t>
            </w:r>
          </w:p>
        </w:tc>
      </w:tr>
      <w:tr w14:paraId="7803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27481F3">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301会议室（建邦大厦）</w:t>
            </w:r>
          </w:p>
        </w:tc>
        <w:tc>
          <w:tcPr>
            <w:tcW w:w="0" w:type="auto"/>
            <w:shd w:val="clear" w:color="auto" w:fill="auto"/>
            <w:vAlign w:val="center"/>
          </w:tcPr>
          <w:p w14:paraId="50DED34F">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地下一层中心药房（院内）</w:t>
            </w:r>
          </w:p>
        </w:tc>
        <w:tc>
          <w:tcPr>
            <w:tcW w:w="0" w:type="auto"/>
            <w:shd w:val="clear" w:color="auto" w:fill="auto"/>
            <w:vAlign w:val="center"/>
          </w:tcPr>
          <w:p w14:paraId="76D14A61">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1张大会议桌、10张皮质单人椅、12张折叠椅</w:t>
            </w:r>
          </w:p>
        </w:tc>
      </w:tr>
      <w:tr w14:paraId="60B2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57C1768">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运营办（建邦大厦）</w:t>
            </w:r>
          </w:p>
        </w:tc>
        <w:tc>
          <w:tcPr>
            <w:tcW w:w="0" w:type="auto"/>
            <w:shd w:val="clear" w:color="auto" w:fill="auto"/>
            <w:vAlign w:val="center"/>
          </w:tcPr>
          <w:p w14:paraId="57D77CFB">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药品仓库（院内）</w:t>
            </w:r>
          </w:p>
        </w:tc>
        <w:tc>
          <w:tcPr>
            <w:tcW w:w="0" w:type="auto"/>
            <w:shd w:val="clear" w:color="auto" w:fill="auto"/>
            <w:vAlign w:val="center"/>
          </w:tcPr>
          <w:p w14:paraId="7F87EADC">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办公桌3张、大文件柜1张、矮柜4张、六门更衣柜1张、办公椅3张、电脑3套、打印机1台、午休床2张、文件材料2箱、余下若干物品3箱</w:t>
            </w:r>
          </w:p>
        </w:tc>
      </w:tr>
      <w:tr w14:paraId="7A51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89" w:hRule="atLeast"/>
          <w:tblCellSpacing w:w="15" w:type="dxa"/>
        </w:trPr>
        <w:tc>
          <w:tcPr>
            <w:tcW w:w="0" w:type="auto"/>
            <w:shd w:val="clear" w:color="auto" w:fill="auto"/>
            <w:vAlign w:val="center"/>
          </w:tcPr>
          <w:p w14:paraId="27143F2A">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楼梯间（建邦大厦）</w:t>
            </w:r>
          </w:p>
        </w:tc>
        <w:tc>
          <w:tcPr>
            <w:tcW w:w="0" w:type="auto"/>
            <w:shd w:val="clear" w:color="auto" w:fill="auto"/>
            <w:vAlign w:val="center"/>
          </w:tcPr>
          <w:p w14:paraId="7FBFD885">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互联网会议室（院内）</w:t>
            </w:r>
          </w:p>
        </w:tc>
        <w:tc>
          <w:tcPr>
            <w:tcW w:w="0" w:type="auto"/>
            <w:shd w:val="clear" w:color="auto" w:fill="auto"/>
            <w:vAlign w:val="center"/>
          </w:tcPr>
          <w:p w14:paraId="35239788">
            <w:pPr>
              <w:keepNext w:val="0"/>
              <w:keepLines w:val="0"/>
              <w:widowControl/>
              <w:suppressLineNumbers w:val="0"/>
              <w:jc w:val="left"/>
              <w:rPr>
                <w:rFonts w:hint="eastAsia" w:ascii="宋体" w:hAnsi="宋体" w:eastAsia="宋体" w:cs="宋体"/>
              </w:rPr>
            </w:pPr>
            <w:r>
              <w:rPr>
                <w:rFonts w:hint="eastAsia" w:ascii="宋体" w:hAnsi="宋体" w:eastAsia="宋体" w:cs="宋体"/>
                <w:kern w:val="0"/>
                <w:sz w:val="24"/>
                <w:szCs w:val="24"/>
                <w:lang w:val="en-US" w:eastAsia="zh-CN" w:bidi="ar"/>
              </w:rPr>
              <w:t>柜子、电冰箱、微波炉、饮水机、开水器、净水器</w:t>
            </w:r>
          </w:p>
        </w:tc>
      </w:tr>
      <w:tr w14:paraId="343F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89" w:hRule="atLeast"/>
          <w:tblCellSpacing w:w="15" w:type="dxa"/>
        </w:trPr>
        <w:tc>
          <w:tcPr>
            <w:tcW w:w="0" w:type="auto"/>
            <w:gridSpan w:val="3"/>
            <w:shd w:val="clear" w:color="auto" w:fill="auto"/>
            <w:vAlign w:val="center"/>
          </w:tcPr>
          <w:p w14:paraId="4A9EA92F">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备注：1.以上清单均为参考数量，具体数量、科室位置以实际为准。</w:t>
            </w:r>
          </w:p>
          <w:p w14:paraId="6DAF5F63">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2.纸箱约为80cm*60cm*50cm，以实际尺寸为准。</w:t>
            </w:r>
            <w:bookmarkStart w:id="0" w:name="_GoBack"/>
            <w:bookmarkEnd w:id="0"/>
          </w:p>
          <w:p w14:paraId="04CB4EB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3.搬迁次数根据采购人需求制定。</w:t>
            </w:r>
          </w:p>
          <w:p w14:paraId="48E5378C">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4.除建邦大厦外，院内及健教所均无电梯。</w:t>
            </w:r>
          </w:p>
          <w:p w14:paraId="4FBB1B20">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5.建邦大厦距离医院约500米。</w:t>
            </w:r>
          </w:p>
          <w:p w14:paraId="6C529834">
            <w:pPr>
              <w:keepNext w:val="0"/>
              <w:keepLines w:val="0"/>
              <w:widowControl/>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6.健教所（鼓楼区福寿巷3号）距离医院约2900米。</w:t>
            </w:r>
          </w:p>
        </w:tc>
      </w:tr>
    </w:tbl>
    <w:p w14:paraId="239D8645">
      <w:pPr>
        <w:pStyle w:val="3"/>
        <w:keepNext w:val="0"/>
        <w:keepLines w:val="0"/>
        <w:widowControl/>
        <w:suppressLineNumbers w:val="0"/>
        <w:spacing w:beforeAutospacing="0" w:afterAutospacing="0"/>
        <w:ind w:left="0" w:right="0"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二、技术和服务要求（以下内容均为实质性内容，供应商须逐项作出明确应答且完全响应，否则视为无效响应）</w:t>
      </w:r>
    </w:p>
    <w:p w14:paraId="7086C1EC">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rPr>
        <w:t>采购人要求搬运：将现有办公地点的各类家具安全、谨慎地拆卸、搬运至新办公地点；办公家具安装：将上述搬运的家具按照原本的布局和结构进行安装，并确保家具的完好和稳固；办公家具保护：在搬运和安装的过程中，采取有效措施对家具进行保护，防止损坏和刮伤。货物搬运至指定位置并按要求上架。</w:t>
      </w:r>
    </w:p>
    <w:p w14:paraId="067464DC">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2.供应商自行准备好搬迁所需要的运输车辆、搬运人员及家具、设备拆装工具、包装材料及小件物品转运箱等物品，确保搬迁工作的有序进行，严格按照采购人的搬迁时间表完成医院搬迁。</w:t>
      </w:r>
    </w:p>
    <w:p w14:paraId="54002675">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3.对全部办公家具、资料及办公设备有针对性的采取保护措施，采用厚泡沫或软布料对其裸露部份进行特别包装保护，不得因拆、装卸、运输或组装过程中发生损伤或划伤的现象。</w:t>
      </w:r>
    </w:p>
    <w:p w14:paraId="6C86B301">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4.重要仪器在搬运过程中应保证完好无损，数量无误，如因搬运因素造成仪器部件损坏导致仪器组装后不能正常使用，供应商应承担相应责任并赔偿采购人损失。</w:t>
      </w:r>
    </w:p>
    <w:p w14:paraId="7C2E0B91">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.供应商应做好搬运现场的保护工作，对于搬迁过程中涉及到的实施现场(如电梯、地面、墙面、道路、楼梯、门窗、家具等)做到有效保护，如有损坏，按市场价原价进行赔偿。搬迁服务过程</w:t>
      </w:r>
      <w:r>
        <w:rPr>
          <w:rFonts w:hint="eastAsia" w:ascii="仿宋_GB2312" w:hAnsi="仿宋_GB2312" w:eastAsia="仿宋_GB2312" w:cs="仿宋_GB2312"/>
          <w:sz w:val="32"/>
          <w:szCs w:val="32"/>
          <w:lang w:eastAsia="zh-CN"/>
        </w:rPr>
        <w:t>中若</w:t>
      </w:r>
      <w:r>
        <w:rPr>
          <w:rFonts w:hint="eastAsia" w:ascii="仿宋_GB2312" w:hAnsi="仿宋_GB2312" w:eastAsia="仿宋_GB2312" w:cs="仿宋_GB2312"/>
          <w:sz w:val="32"/>
          <w:szCs w:val="32"/>
        </w:rPr>
        <w:t>出现仪器设备跌落、物品丢失、重新安装失败、化学品泄露或爆炸、失火、水淹、触电、中毒、灼伤及其它造成工作人员身体损伤、死亡等事故，均由供应商承担全部责任，并赔偿采购人全部损失。</w:t>
      </w:r>
    </w:p>
    <w:p w14:paraId="2DECBAEE">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.搬运过程中，根据科室、物品大小尺寸、易碎、尖锐等</w:t>
      </w:r>
      <w:r>
        <w:rPr>
          <w:rFonts w:hint="eastAsia" w:ascii="仿宋_GB2312" w:hAnsi="仿宋_GB2312" w:eastAsia="仿宋_GB2312" w:cs="仿宋_GB2312"/>
          <w:sz w:val="32"/>
          <w:szCs w:val="32"/>
          <w:lang w:eastAsia="zh-CN"/>
        </w:rPr>
        <w:t>特点</w:t>
      </w:r>
      <w:r>
        <w:rPr>
          <w:rFonts w:hint="eastAsia" w:ascii="仿宋_GB2312" w:hAnsi="仿宋_GB2312" w:eastAsia="仿宋_GB2312" w:cs="仿宋_GB2312"/>
          <w:sz w:val="32"/>
          <w:szCs w:val="32"/>
        </w:rPr>
        <w:t>分类进行搬运、堆放，对于</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重点保护的物品，如贵重物品和易损坏的物品，</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在箱子上加醒目标识或提示语，确保在搬运过程中轻拿轻放。</w:t>
      </w:r>
    </w:p>
    <w:p w14:paraId="4180C087">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.装车时，合理安排物品的码放顺序，每辆车配备专用垫布、毛毯，物品之间做好隔层保护，防止车辆在运输过程中产生碰撞损坏。</w:t>
      </w:r>
    </w:p>
    <w:p w14:paraId="7BEF735E">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.装车后，根据项目规划的指定路线行驶至下货地点，</w:t>
      </w:r>
      <w:r>
        <w:rPr>
          <w:rFonts w:hint="eastAsia" w:ascii="仿宋_GB2312" w:hAnsi="仿宋_GB2312" w:eastAsia="仿宋_GB2312" w:cs="仿宋_GB2312"/>
          <w:sz w:val="32"/>
          <w:szCs w:val="32"/>
          <w:lang w:eastAsia="zh-CN"/>
        </w:rPr>
        <w:t>供应商需</w:t>
      </w:r>
      <w:r>
        <w:rPr>
          <w:rFonts w:hint="eastAsia" w:ascii="仿宋_GB2312" w:hAnsi="仿宋_GB2312" w:eastAsia="仿宋_GB2312" w:cs="仿宋_GB2312"/>
          <w:sz w:val="32"/>
          <w:szCs w:val="32"/>
        </w:rPr>
        <w:t>保证车辆安全、平稳运行</w:t>
      </w: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rPr>
        <w:t>采购人要求将全部物品搬运至指定科室，按照</w:t>
      </w:r>
      <w:r>
        <w:rPr>
          <w:rFonts w:hint="eastAsia" w:ascii="仿宋_GB2312" w:hAnsi="仿宋_GB2312" w:eastAsia="仿宋_GB2312" w:cs="仿宋_GB2312"/>
          <w:sz w:val="32"/>
          <w:szCs w:val="32"/>
          <w:lang w:eastAsia="zh-CN"/>
        </w:rPr>
        <w:t>科室</w:t>
      </w:r>
      <w:r>
        <w:rPr>
          <w:rFonts w:hint="eastAsia" w:ascii="仿宋_GB2312" w:hAnsi="仿宋_GB2312" w:eastAsia="仿宋_GB2312" w:cs="仿宋_GB2312"/>
          <w:sz w:val="32"/>
          <w:szCs w:val="32"/>
        </w:rPr>
        <w:t>指定区域对物品进行摆放，需要组装的办公家具要完成组装，确保搬运一次到位，有序摆放。</w:t>
      </w:r>
    </w:p>
    <w:p w14:paraId="1F7493FF">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.在搬运结束后，供应商应对采购人的搬迁现场进行清理，对保护材料及垃圾进行回收、清理，保证搬迁现场无大型垃圾遗留，确保搬迁现场区域内的环境干净、卫生、整洁。</w:t>
      </w:r>
    </w:p>
    <w:p w14:paraId="03010B1D">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.搬迁工作全部结束并验收合格后，供应商为采购人提供2人/天的办公家具摆放微调工作，主要负责对部分科室办公设备摆放不规范、不合理的地方进行搬运、调整，服务时间：5天。</w:t>
      </w:r>
    </w:p>
    <w:p w14:paraId="6A33F8BE">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.物品搬运结束后，如发现物品有损坏或丢失，可修复的供应商负责修复，无法修复或丢失的，由供应商与采购人协商按物资残值赔付。</w:t>
      </w:r>
    </w:p>
    <w:p w14:paraId="4CCF0602">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.供应商工作人员在服务过程中人身安全及财产安全自行负责，与采购人无关。</w:t>
      </w:r>
    </w:p>
    <w:p w14:paraId="4CA8CE8F">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如因供应商工作人员在履行合同过程中的疏忽、失职、过错等故意或者过失原因给采购人或第三人造成的财产损失、人身侵害，或由此而导致采购人对任何第三方的法律责任等，供应商对此均应承担相应的赔偿责任。</w:t>
      </w:r>
    </w:p>
    <w:p w14:paraId="70D15390">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.搬运清单内的所有设备、物资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家具等的拆卸与再安装均由中标供应商负责，所有价格包含在投标总价中</w:t>
      </w:r>
      <w:r>
        <w:rPr>
          <w:rFonts w:hint="eastAsia" w:ascii="仿宋_GB2312" w:hAnsi="仿宋_GB2312" w:eastAsia="仿宋_GB2312" w:cs="仿宋_GB2312"/>
          <w:sz w:val="32"/>
          <w:szCs w:val="32"/>
          <w:lang w:eastAsia="zh-CN"/>
        </w:rPr>
        <w:t>，本项目为总价包干，供应商根据搬迁科室、办公区域等自主评估报价，具体搬迁内容仅供参考，合同金额不因搬迁内容增减而调整。</w:t>
      </w:r>
      <w:r>
        <w:rPr>
          <w:rFonts w:hint="eastAsia" w:ascii="仿宋_GB2312" w:hAnsi="仿宋_GB2312" w:eastAsia="仿宋_GB2312" w:cs="仿宋_GB2312"/>
          <w:sz w:val="32"/>
          <w:szCs w:val="32"/>
        </w:rPr>
        <w:t>。</w:t>
      </w:r>
    </w:p>
    <w:p w14:paraId="09CD76D9">
      <w:pPr>
        <w:pStyle w:val="9"/>
        <w:keepNext w:val="0"/>
        <w:keepLines w:val="0"/>
        <w:widowControl/>
        <w:suppressLineNumbers w:val="0"/>
        <w:spacing w:beforeAutospacing="0" w:afterAutospacing="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.为方便成交供应商深入了解该搬迁服务项目，成交后，采购人将组织成交供应商进行现场勘查，进一步协调细化搬迁方案，做好搬迁前的协调准备工作，同时制定细化的应急处理预案。</w:t>
      </w:r>
    </w:p>
    <w:p w14:paraId="1A0A58AA">
      <w:pPr>
        <w:keepNext w:val="0"/>
        <w:keepLines w:val="0"/>
        <w:pageBreakBefore w:val="0"/>
        <w:numPr>
          <w:ilvl w:val="0"/>
          <w:numId w:val="0"/>
        </w:numPr>
        <w:kinsoku/>
        <w:overflowPunct/>
        <w:topLinePunct w:val="0"/>
        <w:autoSpaceDE/>
        <w:autoSpaceDN/>
        <w:bidi w:val="0"/>
        <w:adjustRightInd/>
        <w:spacing w:line="560" w:lineRule="exact"/>
        <w:ind w:firstLine="643" w:firstLineChars="200"/>
        <w:textAlignment w:val="center"/>
        <w:rPr>
          <w:rFonts w:hint="eastAsia" w:ascii="黑体" w:hAnsi="黑体" w:eastAsia="黑体" w:cs="黑体"/>
          <w:b/>
          <w:sz w:val="32"/>
          <w:szCs w:val="32"/>
        </w:rPr>
      </w:pPr>
      <w:r>
        <w:rPr>
          <w:rFonts w:hint="eastAsia" w:ascii="黑体" w:hAnsi="黑体" w:eastAsia="黑体" w:cs="黑体"/>
          <w:b/>
          <w:sz w:val="32"/>
          <w:szCs w:val="32"/>
          <w:lang w:eastAsia="zh-CN"/>
        </w:rPr>
        <w:t>三、商务要求</w:t>
      </w:r>
      <w:r>
        <w:rPr>
          <w:rFonts w:hint="eastAsia" w:ascii="黑体" w:hAnsi="黑体" w:eastAsia="黑体" w:cs="黑体"/>
          <w:b/>
          <w:sz w:val="32"/>
          <w:szCs w:val="32"/>
        </w:rPr>
        <w:t>（</w:t>
      </w:r>
      <w:r>
        <w:rPr>
          <w:rFonts w:hint="eastAsia" w:ascii="黑体" w:hAnsi="黑体" w:eastAsia="黑体" w:cs="黑体"/>
          <w:b/>
          <w:sz w:val="32"/>
          <w:szCs w:val="32"/>
          <w:lang w:eastAsia="zh-CN"/>
        </w:rPr>
        <w:t>以下内容均</w:t>
      </w:r>
      <w:r>
        <w:rPr>
          <w:rFonts w:hint="eastAsia" w:ascii="黑体" w:hAnsi="黑体" w:eastAsia="黑体" w:cs="黑体"/>
          <w:b/>
          <w:sz w:val="32"/>
          <w:szCs w:val="32"/>
        </w:rPr>
        <w:t>为不允许负偏离的实质性要求</w:t>
      </w:r>
      <w:r>
        <w:rPr>
          <w:rFonts w:hint="eastAsia" w:ascii="黑体" w:hAnsi="黑体" w:eastAsia="黑体" w:cs="黑体"/>
          <w:b/>
          <w:sz w:val="32"/>
          <w:szCs w:val="32"/>
          <w:lang w:eastAsia="zh-CN"/>
        </w:rPr>
        <w:t>，</w:t>
      </w:r>
      <w:r>
        <w:rPr>
          <w:rStyle w:val="12"/>
          <w:rFonts w:hint="eastAsia" w:ascii="黑体" w:hAnsi="黑体" w:eastAsia="黑体" w:cs="黑体"/>
          <w:b/>
          <w:bCs w:val="0"/>
          <w:color w:val="auto"/>
          <w:sz w:val="32"/>
          <w:szCs w:val="32"/>
          <w:highlight w:val="none"/>
        </w:rPr>
        <w:t>供应商须完全响应，否则视为无效响应</w:t>
      </w:r>
      <w:r>
        <w:rPr>
          <w:rFonts w:hint="eastAsia" w:ascii="黑体" w:hAnsi="黑体" w:eastAsia="黑体" w:cs="黑体"/>
          <w:b/>
          <w:sz w:val="32"/>
          <w:szCs w:val="32"/>
        </w:rPr>
        <w:t>）</w:t>
      </w:r>
    </w:p>
    <w:tbl>
      <w:tblPr>
        <w:tblStyle w:val="10"/>
        <w:tblW w:w="4917"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48"/>
        <w:gridCol w:w="1973"/>
        <w:gridCol w:w="5855"/>
      </w:tblGrid>
      <w:tr w14:paraId="5DD48E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6" w:hRule="atLeast"/>
          <w:jc w:val="center"/>
        </w:trPr>
        <w:tc>
          <w:tcPr>
            <w:tcW w:w="540"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047E93A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kern w:val="0"/>
                <w:sz w:val="28"/>
                <w:szCs w:val="28"/>
                <w:lang w:val="en-US" w:eastAsia="zh-CN" w:bidi="ar"/>
              </w:rPr>
              <w:t>序号</w:t>
            </w:r>
          </w:p>
        </w:tc>
        <w:tc>
          <w:tcPr>
            <w:tcW w:w="1124"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32C8F13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kern w:val="0"/>
                <w:sz w:val="28"/>
                <w:szCs w:val="28"/>
                <w:lang w:val="en-US" w:eastAsia="zh-CN" w:bidi="ar"/>
              </w:rPr>
              <w:t>类型</w:t>
            </w:r>
          </w:p>
        </w:tc>
        <w:tc>
          <w:tcPr>
            <w:tcW w:w="3335"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29D1AA72">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kern w:val="0"/>
                <w:sz w:val="28"/>
                <w:szCs w:val="28"/>
                <w:lang w:val="en-US" w:eastAsia="zh-CN" w:bidi="ar"/>
              </w:rPr>
              <w:t>要求</w:t>
            </w:r>
          </w:p>
        </w:tc>
      </w:tr>
      <w:tr w14:paraId="41D309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1"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273C109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1</w:t>
            </w:r>
          </w:p>
        </w:tc>
        <w:tc>
          <w:tcPr>
            <w:tcW w:w="1124"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607A41F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服务地点</w:t>
            </w:r>
          </w:p>
        </w:tc>
        <w:tc>
          <w:tcPr>
            <w:tcW w:w="3335"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1A2C531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0"/>
                <w:sz w:val="28"/>
                <w:szCs w:val="28"/>
                <w:lang w:val="en-US" w:eastAsia="zh-CN" w:bidi="ar"/>
              </w:rPr>
              <w:t>福建省级机关医院指定地点。</w:t>
            </w:r>
          </w:p>
        </w:tc>
      </w:tr>
      <w:tr w14:paraId="691D3D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6"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7801A31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2</w:t>
            </w:r>
          </w:p>
        </w:tc>
        <w:tc>
          <w:tcPr>
            <w:tcW w:w="1124"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35F845B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服务时间</w:t>
            </w:r>
          </w:p>
        </w:tc>
        <w:tc>
          <w:tcPr>
            <w:tcW w:w="3335"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7F74953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b w:val="0"/>
                <w:bCs w:val="0"/>
                <w:color w:val="auto"/>
                <w:kern w:val="0"/>
                <w:sz w:val="28"/>
                <w:szCs w:val="28"/>
                <w:shd w:val="clear" w:color="auto" w:fill="auto"/>
                <w:lang w:val="en-US" w:eastAsia="zh-CN"/>
              </w:rPr>
              <w:t>根据招标文件及合同要求。</w:t>
            </w:r>
          </w:p>
        </w:tc>
      </w:tr>
      <w:tr w14:paraId="5E6F70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6"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6B70FBE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3</w:t>
            </w:r>
          </w:p>
        </w:tc>
        <w:tc>
          <w:tcPr>
            <w:tcW w:w="1124"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25F9236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服务条件</w:t>
            </w:r>
          </w:p>
        </w:tc>
        <w:tc>
          <w:tcPr>
            <w:tcW w:w="3335"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5E41304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验收合格。</w:t>
            </w:r>
          </w:p>
        </w:tc>
      </w:tr>
      <w:tr w14:paraId="58AA4A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6"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28680B0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4</w:t>
            </w:r>
          </w:p>
        </w:tc>
        <w:tc>
          <w:tcPr>
            <w:tcW w:w="1124"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0190D711">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是否邀请供应商验收</w:t>
            </w:r>
          </w:p>
        </w:tc>
        <w:tc>
          <w:tcPr>
            <w:tcW w:w="3335"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0EAC8038">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不邀请其他供应商验收。</w:t>
            </w:r>
          </w:p>
        </w:tc>
      </w:tr>
      <w:tr w14:paraId="68A47F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1"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220B598F">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5</w:t>
            </w:r>
          </w:p>
        </w:tc>
        <w:tc>
          <w:tcPr>
            <w:tcW w:w="1124"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7508A86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履约验收方式</w:t>
            </w:r>
          </w:p>
        </w:tc>
        <w:tc>
          <w:tcPr>
            <w:tcW w:w="3335"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40A30AD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说明：按照</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文件、</w:t>
            </w:r>
            <w:r>
              <w:rPr>
                <w:rFonts w:hint="eastAsia" w:ascii="仿宋_GB2312" w:hAnsi="仿宋_GB2312" w:eastAsia="仿宋_GB2312" w:cs="仿宋_GB2312"/>
                <w:sz w:val="28"/>
                <w:szCs w:val="28"/>
                <w:lang w:eastAsia="zh-CN"/>
              </w:rPr>
              <w:t>成交人</w:t>
            </w:r>
            <w:r>
              <w:rPr>
                <w:rFonts w:hint="eastAsia" w:ascii="仿宋_GB2312" w:hAnsi="仿宋_GB2312" w:eastAsia="仿宋_GB2312" w:cs="仿宋_GB2312"/>
                <w:sz w:val="28"/>
                <w:szCs w:val="28"/>
                <w:lang w:val="en-US" w:eastAsia="zh-CN"/>
              </w:rPr>
              <w:t>响应</w:t>
            </w:r>
            <w:r>
              <w:rPr>
                <w:rFonts w:hint="eastAsia" w:ascii="仿宋_GB2312" w:hAnsi="仿宋_GB2312" w:eastAsia="仿宋_GB2312" w:cs="仿宋_GB2312"/>
                <w:sz w:val="28"/>
                <w:szCs w:val="28"/>
              </w:rPr>
              <w:t>文件、合同以及相关行业标准进行验收</w:t>
            </w:r>
            <w:r>
              <w:rPr>
                <w:rFonts w:hint="eastAsia" w:ascii="仿宋_GB2312" w:hAnsi="仿宋_GB2312" w:eastAsia="仿宋_GB2312" w:cs="仿宋_GB2312"/>
                <w:sz w:val="28"/>
                <w:szCs w:val="28"/>
                <w:lang w:eastAsia="zh-CN"/>
              </w:rPr>
              <w:t>。</w:t>
            </w:r>
          </w:p>
        </w:tc>
      </w:tr>
      <w:tr w14:paraId="142183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252"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7B8F268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6</w:t>
            </w:r>
          </w:p>
        </w:tc>
        <w:tc>
          <w:tcPr>
            <w:tcW w:w="1124"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048B9FA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合同支付方式</w:t>
            </w:r>
          </w:p>
        </w:tc>
        <w:tc>
          <w:tcPr>
            <w:tcW w:w="3335"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0CA2BFCC">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完成</w:t>
            </w:r>
            <w:r>
              <w:rPr>
                <w:rFonts w:hint="eastAsia" w:ascii="仿宋_GB2312" w:hAnsi="仿宋_GB2312" w:eastAsia="仿宋_GB2312" w:cs="仿宋_GB2312"/>
                <w:sz w:val="28"/>
                <w:szCs w:val="28"/>
                <w:lang w:eastAsia="zh-CN"/>
              </w:rPr>
              <w:t>搬迁(恢复)</w:t>
            </w:r>
            <w:r>
              <w:rPr>
                <w:rFonts w:hint="eastAsia" w:ascii="仿宋_GB2312" w:hAnsi="仿宋_GB2312" w:eastAsia="仿宋_GB2312" w:cs="仿宋_GB2312"/>
                <w:sz w:val="28"/>
                <w:szCs w:val="28"/>
                <w:lang w:val="en-US" w:eastAsia="zh-CN"/>
              </w:rPr>
              <w:t>工作且通过</w:t>
            </w:r>
            <w:r>
              <w:rPr>
                <w:rFonts w:hint="eastAsia" w:ascii="仿宋_GB2312" w:hAnsi="仿宋_GB2312" w:eastAsia="仿宋_GB2312" w:cs="仿宋_GB2312"/>
                <w:sz w:val="28"/>
                <w:szCs w:val="28"/>
                <w:lang w:eastAsia="zh-CN"/>
              </w:rPr>
              <w:t>采购人验收，收到发票后10个工作日内付款。</w:t>
            </w:r>
          </w:p>
          <w:p w14:paraId="451F9181">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注：在采购人付款前，成交人应向采购人提供与采购人支付金额等额且被所在地税务部门认可的合法有效的增值税发票，否则采购人有权拒绝付款且不承担违约责任，成交人亦不得以此为由拒绝履行本合同项下的义务。</w:t>
            </w:r>
          </w:p>
        </w:tc>
      </w:tr>
      <w:tr w14:paraId="0CB23E7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4"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4BBC650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7</w:t>
            </w:r>
          </w:p>
        </w:tc>
        <w:tc>
          <w:tcPr>
            <w:tcW w:w="1124"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172EFB29">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lang w:val="en-US" w:eastAsia="zh-CN" w:bidi="ar"/>
              </w:rPr>
              <w:t>履约保证金</w:t>
            </w:r>
          </w:p>
        </w:tc>
        <w:tc>
          <w:tcPr>
            <w:tcW w:w="3335" w:type="pct"/>
            <w:tcBorders>
              <w:top w:val="single" w:color="000000" w:sz="4" w:space="0"/>
              <w:left w:val="single" w:color="000000" w:sz="4" w:space="0"/>
              <w:bottom w:val="single" w:color="000000" w:sz="4" w:space="0"/>
              <w:right w:val="single" w:color="000000" w:sz="4" w:space="0"/>
            </w:tcBorders>
            <w:noWrap w:val="0"/>
            <w:tcMar>
              <w:left w:w="96" w:type="dxa"/>
              <w:right w:w="96" w:type="dxa"/>
            </w:tcMar>
            <w:vAlign w:val="center"/>
          </w:tcPr>
          <w:p w14:paraId="579EED5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auto"/>
                <w:kern w:val="0"/>
                <w:sz w:val="28"/>
                <w:szCs w:val="28"/>
                <w:lang w:val="en-US" w:eastAsia="zh-CN" w:bidi="ar"/>
              </w:rPr>
              <w:t>不缴纳。</w:t>
            </w:r>
          </w:p>
        </w:tc>
      </w:tr>
    </w:tbl>
    <w:p w14:paraId="0C6106D8">
      <w:pPr>
        <w:pStyle w:val="16"/>
        <w:keepNext w:val="0"/>
        <w:keepLines w:val="0"/>
        <w:pageBreakBefore w:val="0"/>
        <w:widowControl/>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违约责任</w:t>
      </w:r>
    </w:p>
    <w:p w14:paraId="37793D59">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（1）在签订采购合同之后，成交人要求解除合同的，应向采购人支付合同总金额30%的违约金，成交人还应赔偿由此给采购人造成的直接损失和间接损失。</w:t>
      </w:r>
    </w:p>
    <w:p w14:paraId="608E8B80">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）在签采购合同之后，成交人提供的</w:t>
      </w:r>
      <w:r>
        <w:rPr>
          <w:rFonts w:hint="eastAsia" w:ascii="仿宋_GB2312" w:hAnsi="仿宋_GB2312" w:eastAsia="仿宋_GB2312" w:cs="仿宋_GB2312"/>
          <w:sz w:val="32"/>
          <w:szCs w:val="32"/>
          <w:highlight w:val="none"/>
          <w:lang w:val="en-US" w:eastAsia="zh-CN"/>
        </w:rPr>
        <w:t>服务</w:t>
      </w:r>
      <w:r>
        <w:rPr>
          <w:rFonts w:hint="eastAsia" w:ascii="仿宋_GB2312" w:hAnsi="仿宋_GB2312" w:eastAsia="仿宋_GB2312" w:cs="仿宋_GB2312"/>
          <w:sz w:val="32"/>
          <w:szCs w:val="32"/>
          <w:highlight w:val="none"/>
          <w:lang w:eastAsia="zh-CN"/>
        </w:rPr>
        <w:t>实际情况与</w:t>
      </w:r>
      <w:r>
        <w:rPr>
          <w:rFonts w:hint="eastAsia" w:ascii="仿宋_GB2312" w:hAnsi="仿宋_GB2312" w:eastAsia="仿宋_GB2312" w:cs="仿宋_GB2312"/>
          <w:color w:val="auto"/>
          <w:sz w:val="32"/>
          <w:szCs w:val="32"/>
          <w:highlight w:val="none"/>
          <w:u w:val="none"/>
          <w:lang w:eastAsia="zh-CN"/>
        </w:rPr>
        <w:t>响应</w:t>
      </w:r>
      <w:r>
        <w:rPr>
          <w:rFonts w:hint="eastAsia" w:ascii="仿宋_GB2312" w:hAnsi="仿宋_GB2312" w:eastAsia="仿宋_GB2312" w:cs="仿宋_GB2312"/>
          <w:sz w:val="32"/>
          <w:szCs w:val="32"/>
          <w:highlight w:val="none"/>
          <w:lang w:eastAsia="zh-CN"/>
        </w:rPr>
        <w:t>文件响应不符，或未按合同规定的质量要求</w:t>
      </w:r>
      <w:r>
        <w:rPr>
          <w:rFonts w:hint="eastAsia" w:ascii="仿宋_GB2312" w:hAnsi="仿宋_GB2312" w:eastAsia="仿宋_GB2312" w:cs="仿宋_GB2312"/>
          <w:sz w:val="32"/>
          <w:szCs w:val="32"/>
          <w:highlight w:val="none"/>
          <w:lang w:val="en-US" w:eastAsia="zh-CN"/>
        </w:rPr>
        <w:t>提供服务的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视为不合格，采购人</w:t>
      </w:r>
      <w:r>
        <w:rPr>
          <w:rFonts w:hint="eastAsia" w:ascii="仿宋_GB2312" w:hAnsi="仿宋_GB2312" w:eastAsia="仿宋_GB2312" w:cs="仿宋_GB2312"/>
          <w:sz w:val="32"/>
          <w:szCs w:val="32"/>
          <w:highlight w:val="none"/>
          <w:lang w:eastAsia="zh-CN"/>
        </w:rPr>
        <w:t>有权</w:t>
      </w:r>
      <w:r>
        <w:rPr>
          <w:rFonts w:hint="eastAsia" w:ascii="仿宋_GB2312" w:hAnsi="仿宋_GB2312" w:eastAsia="仿宋_GB2312" w:cs="仿宋_GB2312"/>
          <w:sz w:val="32"/>
          <w:szCs w:val="32"/>
          <w:highlight w:val="none"/>
          <w:lang w:val="en-US" w:eastAsia="zh-CN"/>
        </w:rPr>
        <w:t>拒绝接受成交人提供的服务并解除合同，成交人应向采购人支付合同总金额30%的违约金</w:t>
      </w:r>
      <w:r>
        <w:rPr>
          <w:rFonts w:hint="eastAsia" w:ascii="仿宋_GB2312" w:hAnsi="仿宋_GB2312" w:eastAsia="仿宋_GB2312" w:cs="仿宋_GB2312"/>
          <w:sz w:val="32"/>
          <w:szCs w:val="32"/>
          <w:highlight w:val="none"/>
          <w:lang w:eastAsia="zh-CN"/>
        </w:rPr>
        <w:t>，成交人还应赔偿</w:t>
      </w:r>
      <w:r>
        <w:rPr>
          <w:rFonts w:hint="eastAsia" w:ascii="仿宋_GB2312" w:hAnsi="仿宋_GB2312" w:eastAsia="仿宋_GB2312" w:cs="仿宋_GB2312"/>
          <w:sz w:val="32"/>
          <w:szCs w:val="32"/>
          <w:highlight w:val="none"/>
          <w:lang w:val="en-US" w:eastAsia="zh-CN"/>
        </w:rPr>
        <w:t>由</w:t>
      </w:r>
      <w:r>
        <w:rPr>
          <w:rFonts w:hint="eastAsia" w:ascii="仿宋_GB2312" w:hAnsi="仿宋_GB2312" w:eastAsia="仿宋_GB2312" w:cs="仿宋_GB2312"/>
          <w:sz w:val="32"/>
          <w:szCs w:val="32"/>
          <w:highlight w:val="none"/>
          <w:lang w:eastAsia="zh-CN"/>
        </w:rPr>
        <w:t>此给采购人造成的直接损失和间接损失。</w:t>
      </w:r>
    </w:p>
    <w:p w14:paraId="332F0B02">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（3）因</w:t>
      </w:r>
      <w:r>
        <w:rPr>
          <w:rFonts w:hint="eastAsia" w:ascii="仿宋_GB2312" w:hAnsi="仿宋_GB2312" w:eastAsia="仿宋_GB2312" w:cs="仿宋_GB2312"/>
          <w:sz w:val="32"/>
          <w:szCs w:val="32"/>
          <w:highlight w:val="none"/>
          <w:lang w:eastAsia="zh-CN"/>
        </w:rPr>
        <w:t>成交人原因，未能在规定时间内完成</w:t>
      </w:r>
      <w:r>
        <w:rPr>
          <w:rFonts w:hint="eastAsia" w:ascii="仿宋_GB2312" w:hAnsi="仿宋_GB2312" w:eastAsia="仿宋_GB2312" w:cs="仿宋_GB2312"/>
          <w:sz w:val="32"/>
          <w:szCs w:val="32"/>
          <w:highlight w:val="none"/>
          <w:lang w:val="en-US" w:eastAsia="zh-CN"/>
        </w:rPr>
        <w:t>服务的</w:t>
      </w:r>
      <w:r>
        <w:rPr>
          <w:rFonts w:hint="eastAsia" w:ascii="仿宋_GB2312" w:hAnsi="仿宋_GB2312" w:eastAsia="仿宋_GB2312" w:cs="仿宋_GB2312"/>
          <w:sz w:val="32"/>
          <w:szCs w:val="32"/>
          <w:highlight w:val="none"/>
          <w:lang w:eastAsia="zh-CN"/>
        </w:rPr>
        <w:t>，每逾期一天，偿付</w:t>
      </w:r>
      <w:r>
        <w:rPr>
          <w:rFonts w:hint="eastAsia" w:ascii="仿宋_GB2312" w:hAnsi="仿宋_GB2312" w:eastAsia="仿宋_GB2312" w:cs="仿宋_GB2312"/>
          <w:sz w:val="32"/>
          <w:szCs w:val="32"/>
          <w:highlight w:val="none"/>
          <w:u w:val="single"/>
          <w:lang w:val="en-US" w:eastAsia="zh-CN"/>
        </w:rPr>
        <w:t>500</w:t>
      </w:r>
      <w:r>
        <w:rPr>
          <w:rFonts w:hint="eastAsia" w:ascii="仿宋_GB2312" w:hAnsi="仿宋_GB2312" w:eastAsia="仿宋_GB2312" w:cs="仿宋_GB2312"/>
          <w:sz w:val="32"/>
          <w:szCs w:val="32"/>
          <w:highlight w:val="none"/>
          <w:lang w:eastAsia="zh-CN"/>
        </w:rPr>
        <w:t>元违约金；若成交人逾期达30天（含）以上的，采购人有权单方面解除合同</w:t>
      </w:r>
      <w:r>
        <w:rPr>
          <w:rFonts w:hint="eastAsia" w:ascii="仿宋_GB2312" w:hAnsi="仿宋_GB2312" w:eastAsia="仿宋_GB2312" w:cs="仿宋_GB2312"/>
          <w:sz w:val="32"/>
          <w:szCs w:val="32"/>
          <w:highlight w:val="none"/>
          <w:lang w:val="en-US" w:eastAsia="zh-CN"/>
        </w:rPr>
        <w:t>并要求成交人支付合同总金额30%的违约金</w:t>
      </w:r>
      <w:r>
        <w:rPr>
          <w:rFonts w:hint="eastAsia" w:ascii="仿宋_GB2312" w:hAnsi="仿宋_GB2312" w:eastAsia="仿宋_GB2312" w:cs="仿宋_GB2312"/>
          <w:sz w:val="32"/>
          <w:szCs w:val="32"/>
          <w:highlight w:val="none"/>
          <w:lang w:eastAsia="zh-CN"/>
        </w:rPr>
        <w:t>，成交人仍应按上述约定支付延期违约金。成交人还应赔偿</w:t>
      </w:r>
      <w:r>
        <w:rPr>
          <w:rFonts w:hint="eastAsia" w:ascii="仿宋_GB2312" w:hAnsi="仿宋_GB2312" w:eastAsia="仿宋_GB2312" w:cs="仿宋_GB2312"/>
          <w:sz w:val="32"/>
          <w:szCs w:val="32"/>
          <w:highlight w:val="none"/>
          <w:lang w:val="en-US" w:eastAsia="zh-CN"/>
        </w:rPr>
        <w:t>由</w:t>
      </w:r>
      <w:r>
        <w:rPr>
          <w:rFonts w:hint="eastAsia" w:ascii="仿宋_GB2312" w:hAnsi="仿宋_GB2312" w:eastAsia="仿宋_GB2312" w:cs="仿宋_GB2312"/>
          <w:sz w:val="32"/>
          <w:szCs w:val="32"/>
          <w:highlight w:val="none"/>
          <w:lang w:eastAsia="zh-CN"/>
        </w:rPr>
        <w:t>此给采购人造成的直接损失和间接损失。</w:t>
      </w:r>
    </w:p>
    <w:p w14:paraId="0C11AFBA">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）成交人提供的服务未达到合同约定的标准，应在采购人规定的时间内予以整改，每逾期一天，成交人应向采购人支付</w:t>
      </w:r>
      <w:r>
        <w:rPr>
          <w:rFonts w:hint="eastAsia" w:ascii="仿宋_GB2312" w:hAnsi="仿宋_GB2312" w:eastAsia="仿宋_GB2312" w:cs="仿宋_GB2312"/>
          <w:sz w:val="32"/>
          <w:szCs w:val="32"/>
          <w:highlight w:val="none"/>
          <w:u w:val="single"/>
          <w:lang w:val="en-US" w:eastAsia="zh-CN"/>
        </w:rPr>
        <w:t>500</w:t>
      </w:r>
      <w:r>
        <w:rPr>
          <w:rFonts w:hint="eastAsia" w:ascii="仿宋_GB2312" w:hAnsi="仿宋_GB2312" w:eastAsia="仿宋_GB2312" w:cs="仿宋_GB2312"/>
          <w:sz w:val="32"/>
          <w:szCs w:val="32"/>
          <w:highlight w:val="none"/>
          <w:lang w:eastAsia="zh-CN"/>
        </w:rPr>
        <w:t>元违约金；</w:t>
      </w:r>
      <w:r>
        <w:rPr>
          <w:rFonts w:hint="eastAsia" w:ascii="仿宋_GB2312" w:hAnsi="仿宋_GB2312" w:eastAsia="仿宋_GB2312" w:cs="仿宋_GB2312"/>
          <w:sz w:val="32"/>
          <w:szCs w:val="32"/>
          <w:highlight w:val="none"/>
          <w:lang w:val="en-US" w:eastAsia="zh-CN"/>
        </w:rPr>
        <w:t>未在规定时间内整改完成的，</w:t>
      </w:r>
      <w:r>
        <w:rPr>
          <w:rFonts w:hint="eastAsia" w:ascii="仿宋_GB2312" w:hAnsi="仿宋_GB2312" w:eastAsia="仿宋_GB2312" w:cs="仿宋_GB2312"/>
          <w:sz w:val="32"/>
          <w:szCs w:val="32"/>
          <w:highlight w:val="none"/>
          <w:lang w:eastAsia="zh-CN"/>
        </w:rPr>
        <w:t>采购人有权单方面解除合同</w:t>
      </w:r>
      <w:r>
        <w:rPr>
          <w:rFonts w:hint="eastAsia" w:ascii="仿宋_GB2312" w:hAnsi="仿宋_GB2312" w:eastAsia="仿宋_GB2312" w:cs="仿宋_GB2312"/>
          <w:sz w:val="32"/>
          <w:szCs w:val="32"/>
          <w:highlight w:val="none"/>
          <w:lang w:val="en-US" w:eastAsia="zh-CN"/>
        </w:rPr>
        <w:t>并要求成交人支付合同总金额30%的违约金</w:t>
      </w:r>
      <w:r>
        <w:rPr>
          <w:rFonts w:hint="eastAsia" w:ascii="仿宋_GB2312" w:hAnsi="仿宋_GB2312" w:eastAsia="仿宋_GB2312" w:cs="仿宋_GB2312"/>
          <w:sz w:val="32"/>
          <w:szCs w:val="32"/>
          <w:highlight w:val="none"/>
          <w:lang w:eastAsia="zh-CN"/>
        </w:rPr>
        <w:t>。成交人还应赔偿</w:t>
      </w:r>
      <w:r>
        <w:rPr>
          <w:rFonts w:hint="eastAsia" w:ascii="仿宋_GB2312" w:hAnsi="仿宋_GB2312" w:eastAsia="仿宋_GB2312" w:cs="仿宋_GB2312"/>
          <w:sz w:val="32"/>
          <w:szCs w:val="32"/>
          <w:highlight w:val="none"/>
          <w:lang w:val="en-US" w:eastAsia="zh-CN"/>
        </w:rPr>
        <w:t>由</w:t>
      </w:r>
      <w:r>
        <w:rPr>
          <w:rFonts w:hint="eastAsia" w:ascii="仿宋_GB2312" w:hAnsi="仿宋_GB2312" w:eastAsia="仿宋_GB2312" w:cs="仿宋_GB2312"/>
          <w:sz w:val="32"/>
          <w:szCs w:val="32"/>
          <w:highlight w:val="none"/>
          <w:lang w:eastAsia="zh-CN"/>
        </w:rPr>
        <w:t>此给采购人造成的直接损失和间接损失。</w:t>
      </w:r>
    </w:p>
    <w:p w14:paraId="19F34C14">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（5）成交人项目逾期（包括验收不合格、整修、返工或由采购人提出的更改、成交人承诺，但未在承诺的工期内完成等）的，每逾期一天，偿付</w:t>
      </w:r>
      <w:r>
        <w:rPr>
          <w:rFonts w:hint="eastAsia" w:ascii="仿宋_GB2312" w:hAnsi="仿宋_GB2312" w:eastAsia="仿宋_GB2312" w:cs="仿宋_GB2312"/>
          <w:sz w:val="32"/>
          <w:szCs w:val="32"/>
          <w:highlight w:val="none"/>
          <w:u w:val="single"/>
          <w:lang w:val="en-US" w:eastAsia="zh-CN"/>
        </w:rPr>
        <w:t>500</w:t>
      </w:r>
      <w:r>
        <w:rPr>
          <w:rFonts w:hint="eastAsia" w:ascii="仿宋_GB2312" w:hAnsi="仿宋_GB2312" w:eastAsia="仿宋_GB2312" w:cs="仿宋_GB2312"/>
          <w:sz w:val="32"/>
          <w:szCs w:val="32"/>
          <w:highlight w:val="none"/>
          <w:lang w:val="en-US" w:eastAsia="zh-CN"/>
        </w:rPr>
        <w:t>元违约金；若成交人项目逾期达30天（含）以上的，采购人有权单方面解除合同并要求成交人支付合同总金额30%的违约金，成交人仍应按上述约定支付延期违约金。若因此给采购人造成损失的，还应赔偿采购人所受的损失。</w:t>
      </w:r>
    </w:p>
    <w:p w14:paraId="2881B6DE">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（6）如因成交人在本项目实施过程中造成采购人业务中断，应由成交人完全承担责任，成交人应赔偿由此给采购人造成的直接损失和间接损失。</w:t>
      </w:r>
    </w:p>
    <w:p w14:paraId="69B04F34">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（7）如成交人违法用工产生的一切责任由成交人承担，由此给采购人造成损失的，采购人有权向成交人全额追偿。</w:t>
      </w:r>
    </w:p>
    <w:p w14:paraId="776A185B">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）因成交人原因发生任何事故，所造成的所有人员伤亡、财产损失和责任均由成交人承担，与采购人无关。成交人除依约承担赔偿责任外，还将按有关质量管理办</w:t>
      </w:r>
      <w:r>
        <w:rPr>
          <w:rFonts w:hint="eastAsia" w:ascii="仿宋_GB2312" w:hAnsi="仿宋_GB2312" w:eastAsia="仿宋_GB2312" w:cs="仿宋_GB2312"/>
          <w:sz w:val="32"/>
          <w:szCs w:val="32"/>
          <w:highlight w:val="none"/>
          <w:lang w:eastAsia="zh-CN"/>
        </w:rPr>
        <w:t>法规定执行。同时，采购人有权</w:t>
      </w:r>
      <w:r>
        <w:rPr>
          <w:rFonts w:hint="eastAsia" w:ascii="仿宋_GB2312" w:hAnsi="仿宋_GB2312" w:eastAsia="仿宋_GB2312" w:cs="仿宋_GB2312"/>
          <w:sz w:val="32"/>
          <w:szCs w:val="32"/>
          <w:highlight w:val="none"/>
          <w:lang w:val="en-US" w:eastAsia="zh-CN"/>
        </w:rPr>
        <w:t>单方面解除合同</w:t>
      </w:r>
      <w:r>
        <w:rPr>
          <w:rFonts w:hint="eastAsia" w:ascii="仿宋_GB2312" w:hAnsi="仿宋_GB2312" w:eastAsia="仿宋_GB2312" w:cs="仿宋_GB2312"/>
          <w:sz w:val="32"/>
          <w:szCs w:val="32"/>
          <w:highlight w:val="none"/>
          <w:lang w:eastAsia="zh-CN"/>
        </w:rPr>
        <w:t>，并报相关行政主管部门处罚。</w:t>
      </w:r>
    </w:p>
    <w:p w14:paraId="5208E278">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9）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w:t>
      </w:r>
      <w:r>
        <w:rPr>
          <w:rFonts w:hint="eastAsia" w:ascii="仿宋_GB2312" w:hAnsi="仿宋_GB2312" w:eastAsia="仿宋_GB2312" w:cs="仿宋_GB2312"/>
          <w:sz w:val="32"/>
          <w:szCs w:val="32"/>
          <w:highlight w:val="none"/>
          <w:lang w:val="en-US" w:eastAsia="zh-CN"/>
        </w:rPr>
        <w:t>单方面解除合同</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eastAsia="zh-CN"/>
        </w:rPr>
        <w:t>成交人还应赔偿因此给采购人造成的直接损失和间接损失。</w:t>
      </w:r>
    </w:p>
    <w:p w14:paraId="6C546D77">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（10）采购人根据合同约定向成交人主张相应违约金、赔偿金的，</w:t>
      </w:r>
      <w:r>
        <w:rPr>
          <w:rFonts w:hint="eastAsia" w:ascii="仿宋_GB2312" w:hAnsi="仿宋_GB2312" w:eastAsia="仿宋_GB2312" w:cs="仿宋_GB2312"/>
          <w:sz w:val="32"/>
          <w:szCs w:val="32"/>
          <w:highlight w:val="none"/>
          <w:lang w:eastAsia="zh-CN"/>
        </w:rPr>
        <w:t>成交人</w:t>
      </w:r>
      <w:r>
        <w:rPr>
          <w:rFonts w:hint="eastAsia" w:ascii="仿宋_GB2312" w:hAnsi="仿宋_GB2312" w:eastAsia="仿宋_GB2312" w:cs="仿宋_GB2312"/>
          <w:sz w:val="32"/>
          <w:szCs w:val="32"/>
          <w:highlight w:val="none"/>
          <w:lang w:val="en-US" w:eastAsia="zh-CN"/>
        </w:rPr>
        <w:t>应</w:t>
      </w:r>
      <w:r>
        <w:rPr>
          <w:rFonts w:hint="eastAsia" w:ascii="仿宋_GB2312" w:hAnsi="仿宋_GB2312" w:eastAsia="仿宋_GB2312" w:cs="仿宋_GB2312"/>
          <w:sz w:val="32"/>
          <w:szCs w:val="32"/>
          <w:highlight w:val="none"/>
          <w:lang w:eastAsia="zh-CN"/>
        </w:rPr>
        <w:t>在</w:t>
      </w:r>
      <w:r>
        <w:rPr>
          <w:rFonts w:hint="eastAsia" w:ascii="仿宋_GB2312" w:hAnsi="仿宋_GB2312" w:eastAsia="仿宋_GB2312" w:cs="仿宋_GB2312"/>
          <w:sz w:val="32"/>
          <w:szCs w:val="32"/>
          <w:highlight w:val="none"/>
          <w:lang w:val="en-US" w:eastAsia="zh-CN"/>
        </w:rPr>
        <w:t>收</w:t>
      </w:r>
      <w:r>
        <w:rPr>
          <w:rFonts w:hint="eastAsia" w:ascii="仿宋_GB2312" w:hAnsi="仿宋_GB2312" w:eastAsia="仿宋_GB2312" w:cs="仿宋_GB2312"/>
          <w:sz w:val="32"/>
          <w:szCs w:val="32"/>
          <w:highlight w:val="none"/>
          <w:lang w:eastAsia="zh-CN"/>
        </w:rPr>
        <w:t>到采购人通知起七天内</w:t>
      </w:r>
      <w:r>
        <w:rPr>
          <w:rFonts w:hint="eastAsia" w:ascii="仿宋_GB2312" w:hAnsi="仿宋_GB2312" w:eastAsia="仿宋_GB2312" w:cs="仿宋_GB2312"/>
          <w:sz w:val="32"/>
          <w:szCs w:val="32"/>
          <w:highlight w:val="none"/>
          <w:lang w:val="en-US" w:eastAsia="zh-CN"/>
        </w:rPr>
        <w:t>支付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否则</w:t>
      </w:r>
      <w:r>
        <w:rPr>
          <w:rFonts w:hint="eastAsia" w:ascii="仿宋_GB2312" w:hAnsi="仿宋_GB2312" w:eastAsia="仿宋_GB2312" w:cs="仿宋_GB2312"/>
          <w:sz w:val="32"/>
          <w:szCs w:val="32"/>
          <w:highlight w:val="none"/>
          <w:lang w:eastAsia="zh-CN"/>
        </w:rPr>
        <w:t>采购人有权在未付</w:t>
      </w:r>
      <w:r>
        <w:rPr>
          <w:rFonts w:hint="eastAsia" w:ascii="仿宋_GB2312" w:hAnsi="仿宋_GB2312" w:eastAsia="仿宋_GB2312" w:cs="仿宋_GB2312"/>
          <w:sz w:val="32"/>
          <w:szCs w:val="32"/>
          <w:highlight w:val="none"/>
          <w:lang w:val="en-US" w:eastAsia="zh-CN"/>
        </w:rPr>
        <w:t>合同</w:t>
      </w:r>
      <w:r>
        <w:rPr>
          <w:rFonts w:hint="eastAsia" w:ascii="仿宋_GB2312" w:hAnsi="仿宋_GB2312" w:eastAsia="仿宋_GB2312" w:cs="仿宋_GB2312"/>
          <w:sz w:val="32"/>
          <w:szCs w:val="32"/>
          <w:highlight w:val="none"/>
          <w:lang w:eastAsia="zh-CN"/>
        </w:rPr>
        <w:t>款、中直接扣减成交人应付违约金、</w:t>
      </w:r>
      <w:r>
        <w:rPr>
          <w:rFonts w:hint="eastAsia" w:ascii="仿宋_GB2312" w:hAnsi="仿宋_GB2312" w:eastAsia="仿宋_GB2312" w:cs="仿宋_GB2312"/>
          <w:sz w:val="32"/>
          <w:szCs w:val="32"/>
          <w:highlight w:val="none"/>
          <w:lang w:val="en-US" w:eastAsia="zh-CN"/>
        </w:rPr>
        <w:t>赔偿金</w:t>
      </w:r>
      <w:r>
        <w:rPr>
          <w:rFonts w:hint="eastAsia" w:ascii="仿宋_GB2312" w:hAnsi="仿宋_GB2312" w:eastAsia="仿宋_GB2312" w:cs="仿宋_GB2312"/>
          <w:sz w:val="32"/>
          <w:szCs w:val="32"/>
          <w:highlight w:val="none"/>
          <w:lang w:eastAsia="zh-CN"/>
        </w:rPr>
        <w:t>。未付</w:t>
      </w:r>
      <w:r>
        <w:rPr>
          <w:rFonts w:hint="eastAsia" w:ascii="仿宋_GB2312" w:hAnsi="仿宋_GB2312" w:eastAsia="仿宋_GB2312" w:cs="仿宋_GB2312"/>
          <w:sz w:val="32"/>
          <w:szCs w:val="32"/>
          <w:highlight w:val="none"/>
          <w:lang w:val="en-US" w:eastAsia="zh-CN"/>
        </w:rPr>
        <w:t>合同</w:t>
      </w:r>
      <w:r>
        <w:rPr>
          <w:rFonts w:hint="eastAsia" w:ascii="仿宋_GB2312" w:hAnsi="仿宋_GB2312" w:eastAsia="仿宋_GB2312" w:cs="仿宋_GB2312"/>
          <w:sz w:val="32"/>
          <w:szCs w:val="32"/>
          <w:highlight w:val="none"/>
          <w:lang w:eastAsia="zh-CN"/>
        </w:rPr>
        <w:t>款和履约保证金不足以支付违约金、</w:t>
      </w:r>
      <w:r>
        <w:rPr>
          <w:rFonts w:hint="eastAsia" w:ascii="仿宋_GB2312" w:hAnsi="仿宋_GB2312" w:eastAsia="仿宋_GB2312" w:cs="仿宋_GB2312"/>
          <w:sz w:val="32"/>
          <w:szCs w:val="32"/>
          <w:highlight w:val="none"/>
          <w:lang w:val="en-US" w:eastAsia="zh-CN"/>
        </w:rPr>
        <w:t>赔偿金</w:t>
      </w:r>
      <w:r>
        <w:rPr>
          <w:rFonts w:hint="eastAsia" w:ascii="仿宋_GB2312" w:hAnsi="仿宋_GB2312" w:eastAsia="仿宋_GB2312" w:cs="仿宋_GB2312"/>
          <w:sz w:val="32"/>
          <w:szCs w:val="32"/>
          <w:highlight w:val="none"/>
          <w:lang w:eastAsia="zh-CN"/>
        </w:rPr>
        <w:t>的，采购人有权继续追偿。</w:t>
      </w:r>
    </w:p>
    <w:p w14:paraId="3AD9431C">
      <w:pPr>
        <w:keepNext w:val="0"/>
        <w:keepLines w:val="0"/>
        <w:pageBreakBefore w:val="0"/>
        <w:widowControl w:val="0"/>
        <w:kinsoku/>
        <w:wordWrap/>
        <w:overflowPunct/>
        <w:topLinePunct w:val="0"/>
        <w:autoSpaceDE/>
        <w:autoSpaceDN/>
        <w:bidi w:val="0"/>
        <w:adjustRightInd/>
        <w:snapToGrid/>
        <w:spacing w:line="59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lang w:eastAsia="zh-CN"/>
        </w:rPr>
        <w:t>）任何一方因对方违约，向违约方主张权利所支出的律师费、诉讼费</w:t>
      </w:r>
      <w:r>
        <w:rPr>
          <w:rFonts w:hint="eastAsia" w:ascii="仿宋_GB2312" w:hAnsi="仿宋_GB2312" w:eastAsia="仿宋_GB2312" w:cs="仿宋_GB2312"/>
          <w:sz w:val="32"/>
          <w:szCs w:val="32"/>
          <w:highlight w:val="none"/>
          <w:lang w:val="en-US" w:eastAsia="zh-CN"/>
        </w:rPr>
        <w:t>/仲裁费</w:t>
      </w:r>
      <w:r>
        <w:rPr>
          <w:rFonts w:hint="eastAsia" w:ascii="仿宋_GB2312" w:hAnsi="仿宋_GB2312" w:eastAsia="仿宋_GB2312" w:cs="仿宋_GB2312"/>
          <w:sz w:val="32"/>
          <w:szCs w:val="32"/>
          <w:highlight w:val="none"/>
          <w:lang w:eastAsia="zh-CN"/>
        </w:rPr>
        <w:t>、保全费、差旅费等费用均有权要求违约方承担。</w:t>
      </w:r>
    </w:p>
    <w:p w14:paraId="148DCEFF">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firstLine="643" w:firstLineChars="200"/>
        <w:rPr>
          <w:rFonts w:hint="eastAsia" w:ascii="仿宋_GB2312" w:hAnsi="仿宋_GB2312" w:eastAsia="仿宋_GB2312" w:cs="仿宋_GB2312"/>
          <w:color w:val="auto"/>
          <w:sz w:val="32"/>
          <w:szCs w:val="32"/>
          <w:highlight w:val="none"/>
        </w:rPr>
      </w:pPr>
      <w:r>
        <w:rPr>
          <w:rStyle w:val="12"/>
          <w:rFonts w:hint="eastAsia" w:ascii="仿宋_GB2312" w:hAnsi="仿宋_GB2312" w:cs="仿宋_GB2312"/>
          <w:color w:val="auto"/>
          <w:sz w:val="32"/>
          <w:szCs w:val="32"/>
          <w:highlight w:val="none"/>
          <w:lang w:eastAsia="zh-CN"/>
        </w:rPr>
        <w:t>四</w:t>
      </w:r>
      <w:r>
        <w:rPr>
          <w:rStyle w:val="12"/>
          <w:rFonts w:hint="eastAsia" w:ascii="仿宋_GB2312" w:hAnsi="仿宋_GB2312" w:eastAsia="仿宋_GB2312" w:cs="仿宋_GB2312"/>
          <w:color w:val="auto"/>
          <w:sz w:val="32"/>
          <w:szCs w:val="32"/>
          <w:highlight w:val="none"/>
          <w:lang w:eastAsia="zh-CN"/>
        </w:rPr>
        <w:t>、</w:t>
      </w:r>
      <w:r>
        <w:rPr>
          <w:rStyle w:val="12"/>
          <w:rFonts w:hint="eastAsia" w:ascii="仿宋_GB2312" w:hAnsi="仿宋_GB2312" w:eastAsia="仿宋_GB2312" w:cs="仿宋_GB2312"/>
          <w:color w:val="auto"/>
          <w:sz w:val="32"/>
          <w:szCs w:val="32"/>
          <w:highlight w:val="none"/>
        </w:rPr>
        <w:t>供应商资格要求及审查办法</w:t>
      </w:r>
    </w:p>
    <w:p w14:paraId="07EF78F6">
      <w:pPr>
        <w:keepNext w:val="0"/>
        <w:keepLines w:val="0"/>
        <w:pageBreakBefore w:val="0"/>
        <w:numPr>
          <w:ilvl w:val="0"/>
          <w:numId w:val="0"/>
        </w:numPr>
        <w:kinsoku/>
        <w:overflowPunct/>
        <w:topLinePunct w:val="0"/>
        <w:autoSpaceDE/>
        <w:autoSpaceDN/>
        <w:bidi w:val="0"/>
        <w:adjustRightInd/>
        <w:spacing w:beforeLines="0" w:afterLines="0" w:line="560" w:lineRule="exact"/>
        <w:ind w:firstLine="640" w:firstLineChars="200"/>
        <w:rPr>
          <w:rFonts w:hint="eastAsia" w:ascii="仿宋_GB2312" w:hAnsi="仿宋_GB2312" w:eastAsia="仿宋_GB2312" w:cs="仿宋_GB2312"/>
          <w:b/>
          <w:bCs/>
          <w:color w:val="auto"/>
          <w:spacing w:val="0"/>
          <w:sz w:val="32"/>
          <w:szCs w:val="32"/>
          <w:highlight w:val="none"/>
          <w:lang w:eastAsia="zh-CN"/>
        </w:rPr>
      </w:pPr>
      <w:r>
        <w:rPr>
          <w:rFonts w:hint="eastAsia" w:ascii="仿宋_GB2312" w:hAnsi="仿宋_GB2312" w:eastAsia="仿宋_GB2312" w:cs="仿宋_GB2312"/>
          <w:b w:val="0"/>
          <w:bCs w:val="0"/>
          <w:color w:val="auto"/>
          <w:spacing w:val="0"/>
          <w:sz w:val="32"/>
          <w:szCs w:val="32"/>
          <w:highlight w:val="none"/>
          <w:lang w:val="en-US" w:eastAsia="zh-CN"/>
        </w:rPr>
        <w:t>1、</w:t>
      </w:r>
      <w:r>
        <w:rPr>
          <w:rFonts w:hint="eastAsia" w:ascii="仿宋_GB2312" w:hAnsi="仿宋_GB2312" w:eastAsia="仿宋_GB2312" w:cs="仿宋_GB2312"/>
          <w:b w:val="0"/>
          <w:bCs w:val="0"/>
          <w:color w:val="auto"/>
          <w:spacing w:val="0"/>
          <w:sz w:val="32"/>
          <w:szCs w:val="32"/>
          <w:highlight w:val="none"/>
          <w:lang w:eastAsia="zh-CN"/>
        </w:rPr>
        <w:t>资格要求</w:t>
      </w:r>
      <w:r>
        <w:rPr>
          <w:rFonts w:hint="eastAsia" w:ascii="仿宋_GB2312" w:hAnsi="仿宋_GB2312" w:eastAsia="仿宋_GB2312" w:cs="仿宋_GB2312"/>
          <w:b/>
          <w:bCs/>
          <w:color w:val="auto"/>
          <w:spacing w:val="0"/>
          <w:sz w:val="32"/>
          <w:szCs w:val="32"/>
          <w:highlight w:val="none"/>
          <w:lang w:eastAsia="zh-CN"/>
        </w:rPr>
        <w:t>：</w:t>
      </w:r>
    </w:p>
    <w:p w14:paraId="78A22990">
      <w:pPr>
        <w:pStyle w:val="6"/>
        <w:keepNext w:val="0"/>
        <w:keepLines w:val="0"/>
        <w:pageBreakBefore w:val="0"/>
        <w:numPr>
          <w:ilvl w:val="0"/>
          <w:numId w:val="0"/>
        </w:numPr>
        <w:kinsoku/>
        <w:overflowPunct/>
        <w:topLinePunct w:val="0"/>
        <w:autoSpaceDE/>
        <w:autoSpaceDN/>
        <w:bidi w:val="0"/>
        <w:adjustRightInd/>
        <w:spacing w:line="560" w:lineRule="exact"/>
        <w:ind w:firstLine="640" w:firstLineChars="200"/>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bidi="ar-SA"/>
        </w:rPr>
        <w:t>1.1一般资格要求：</w:t>
      </w:r>
    </w:p>
    <w:p w14:paraId="6B73D0B1">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（1）</w:t>
      </w:r>
      <w:r>
        <w:rPr>
          <w:rFonts w:hint="eastAsia" w:ascii="仿宋_GB2312" w:hAnsi="仿宋_GB2312" w:eastAsia="仿宋_GB2312" w:cs="仿宋_GB2312"/>
          <w:color w:val="auto"/>
          <w:spacing w:val="0"/>
          <w:sz w:val="32"/>
          <w:szCs w:val="32"/>
          <w:highlight w:val="none"/>
        </w:rPr>
        <w:t>供应商应是具备独立企业法人资格,有能力承接本项目的国内企业 (供应商应在响应文件中提供企业法人营业执照复印件,并加盖供应商单位公章)；</w:t>
      </w:r>
    </w:p>
    <w:p w14:paraId="1714E217">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（2）</w:t>
      </w:r>
      <w:r>
        <w:rPr>
          <w:rFonts w:hint="eastAsia" w:ascii="仿宋_GB2312" w:hAnsi="仿宋_GB2312" w:eastAsia="仿宋_GB2312" w:cs="仿宋_GB2312"/>
          <w:color w:val="auto"/>
          <w:spacing w:val="0"/>
          <w:sz w:val="32"/>
          <w:szCs w:val="32"/>
          <w:highlight w:val="none"/>
        </w:rPr>
        <w:t>法定代表人授权书原件（若是单位负责人参加</w:t>
      </w:r>
      <w:r>
        <w:rPr>
          <w:rFonts w:hint="eastAsia" w:ascii="仿宋_GB2312" w:hAnsi="仿宋_GB2312" w:eastAsia="仿宋_GB2312" w:cs="仿宋_GB2312"/>
          <w:color w:val="auto"/>
          <w:spacing w:val="0"/>
          <w:sz w:val="32"/>
          <w:szCs w:val="32"/>
          <w:highlight w:val="none"/>
          <w:lang w:eastAsia="zh-CN"/>
        </w:rPr>
        <w:t>谈判</w:t>
      </w:r>
      <w:r>
        <w:rPr>
          <w:rFonts w:hint="eastAsia" w:ascii="仿宋_GB2312" w:hAnsi="仿宋_GB2312" w:eastAsia="仿宋_GB2312" w:cs="仿宋_GB2312"/>
          <w:color w:val="auto"/>
          <w:spacing w:val="0"/>
          <w:sz w:val="32"/>
          <w:szCs w:val="32"/>
          <w:highlight w:val="none"/>
        </w:rPr>
        <w:t>的可无须提供本函），(供应商应按照附件“响应文件格式”)；</w:t>
      </w:r>
    </w:p>
    <w:p w14:paraId="1A10A79A">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（3）</w:t>
      </w:r>
      <w:r>
        <w:rPr>
          <w:rFonts w:hint="eastAsia" w:ascii="仿宋_GB2312" w:hAnsi="仿宋_GB2312" w:eastAsia="仿宋_GB2312" w:cs="仿宋_GB2312"/>
          <w:sz w:val="32"/>
          <w:szCs w:val="32"/>
        </w:rPr>
        <w:t>提供财务状况报告(财务报告、或资信证明）</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rPr>
        <w:t>提供的财务报告复印件（成立年限按照</w:t>
      </w:r>
      <w:r>
        <w:rPr>
          <w:rFonts w:hint="eastAsia" w:ascii="仿宋_GB2312" w:hAnsi="仿宋_GB2312" w:eastAsia="仿宋_GB2312" w:cs="仿宋_GB2312"/>
          <w:sz w:val="32"/>
          <w:szCs w:val="32"/>
          <w:lang w:eastAsia="zh-CN"/>
        </w:rPr>
        <w:t>投标/响应</w:t>
      </w:r>
      <w:r>
        <w:rPr>
          <w:rFonts w:hint="eastAsia" w:ascii="仿宋_GB2312" w:hAnsi="仿宋_GB2312" w:eastAsia="仿宋_GB2312" w:cs="仿宋_GB2312"/>
          <w:sz w:val="32"/>
          <w:szCs w:val="32"/>
        </w:rPr>
        <w:t>截止时间推算）应符合下列规定：a.成立年限满1年及以上的</w:t>
      </w:r>
      <w:r>
        <w:rPr>
          <w:rFonts w:hint="eastAsia" w:ascii="仿宋_GB2312" w:hAnsi="仿宋_GB2312" w:eastAsia="仿宋_GB2312" w:cs="仿宋_GB2312"/>
          <w:sz w:val="32"/>
          <w:szCs w:val="32"/>
          <w:lang w:eastAsia="zh-CN"/>
        </w:rPr>
        <w:t>投标/响应</w:t>
      </w:r>
      <w:r>
        <w:rPr>
          <w:rFonts w:hint="eastAsia" w:ascii="仿宋_GB2312" w:hAnsi="仿宋_GB2312" w:eastAsia="仿宋_GB2312" w:cs="仿宋_GB2312"/>
          <w:sz w:val="32"/>
          <w:szCs w:val="32"/>
        </w:rPr>
        <w:t>人，提供经审计的</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的年度财务报告。 b.成立年限满半年但不足1年的</w:t>
      </w:r>
      <w:r>
        <w:rPr>
          <w:rFonts w:hint="eastAsia" w:ascii="仿宋_GB2312" w:hAnsi="仿宋_GB2312" w:eastAsia="仿宋_GB2312" w:cs="仿宋_GB2312"/>
          <w:sz w:val="32"/>
          <w:szCs w:val="32"/>
          <w:lang w:eastAsia="zh-CN"/>
        </w:rPr>
        <w:t>投标/响应</w:t>
      </w:r>
      <w:r>
        <w:rPr>
          <w:rFonts w:hint="eastAsia" w:ascii="仿宋_GB2312" w:hAnsi="仿宋_GB2312" w:eastAsia="仿宋_GB2312" w:cs="仿宋_GB2312"/>
          <w:sz w:val="32"/>
          <w:szCs w:val="32"/>
        </w:rPr>
        <w:t>人，提供该半年度中任一季度的季度财务报告或该半年度的半年度财务报告。 c.无法按照以上a、b项规定提供财务报告复印件的</w:t>
      </w:r>
      <w:r>
        <w:rPr>
          <w:rFonts w:hint="eastAsia" w:ascii="仿宋_GB2312" w:hAnsi="仿宋_GB2312" w:eastAsia="仿宋_GB2312" w:cs="仿宋_GB2312"/>
          <w:sz w:val="32"/>
          <w:szCs w:val="32"/>
          <w:lang w:eastAsia="zh-CN"/>
        </w:rPr>
        <w:t>投标/响应</w:t>
      </w:r>
      <w:r>
        <w:rPr>
          <w:rFonts w:hint="eastAsia" w:ascii="仿宋_GB2312" w:hAnsi="仿宋_GB2312" w:eastAsia="仿宋_GB2312" w:cs="仿宋_GB2312"/>
          <w:sz w:val="32"/>
          <w:szCs w:val="32"/>
        </w:rPr>
        <w:t>人（包括但不限于：成立年限满1年及以上的</w:t>
      </w:r>
      <w:r>
        <w:rPr>
          <w:rFonts w:hint="eastAsia" w:ascii="仿宋_GB2312" w:hAnsi="仿宋_GB2312" w:eastAsia="仿宋_GB2312" w:cs="仿宋_GB2312"/>
          <w:sz w:val="32"/>
          <w:szCs w:val="32"/>
          <w:lang w:eastAsia="zh-CN"/>
        </w:rPr>
        <w:t>投标/响应</w:t>
      </w:r>
      <w:r>
        <w:rPr>
          <w:rFonts w:hint="eastAsia" w:ascii="仿宋_GB2312" w:hAnsi="仿宋_GB2312" w:eastAsia="仿宋_GB2312" w:cs="仿宋_GB2312"/>
          <w:sz w:val="32"/>
          <w:szCs w:val="32"/>
        </w:rPr>
        <w:t>人、成立年限满半年但不足1年的</w:t>
      </w:r>
      <w:r>
        <w:rPr>
          <w:rFonts w:hint="eastAsia" w:ascii="仿宋_GB2312" w:hAnsi="仿宋_GB2312" w:eastAsia="仿宋_GB2312" w:cs="仿宋_GB2312"/>
          <w:sz w:val="32"/>
          <w:szCs w:val="32"/>
          <w:lang w:eastAsia="zh-CN"/>
        </w:rPr>
        <w:t>投标/响应</w:t>
      </w:r>
      <w:r>
        <w:rPr>
          <w:rFonts w:hint="eastAsia" w:ascii="仿宋_GB2312" w:hAnsi="仿宋_GB2312" w:eastAsia="仿宋_GB2312" w:cs="仿宋_GB2312"/>
          <w:sz w:val="32"/>
          <w:szCs w:val="32"/>
        </w:rPr>
        <w:t>人、成立年限不足半年的</w:t>
      </w:r>
      <w:r>
        <w:rPr>
          <w:rFonts w:hint="eastAsia" w:ascii="仿宋_GB2312" w:hAnsi="仿宋_GB2312" w:eastAsia="仿宋_GB2312" w:cs="仿宋_GB2312"/>
          <w:sz w:val="32"/>
          <w:szCs w:val="32"/>
          <w:lang w:eastAsia="zh-CN"/>
        </w:rPr>
        <w:t>投标/响应</w:t>
      </w:r>
      <w:r>
        <w:rPr>
          <w:rFonts w:hint="eastAsia" w:ascii="仿宋_GB2312" w:hAnsi="仿宋_GB2312" w:eastAsia="仿宋_GB2312" w:cs="仿宋_GB2312"/>
          <w:sz w:val="32"/>
          <w:szCs w:val="32"/>
        </w:rPr>
        <w:t>人），应选择提供资信证明复印件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pacing w:val="0"/>
          <w:sz w:val="32"/>
          <w:szCs w:val="32"/>
          <w:highlight w:val="none"/>
        </w:rPr>
        <w:t>详见附件“响应文件格式”)；</w:t>
      </w:r>
    </w:p>
    <w:p w14:paraId="3421D494">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依法缴纳税收和社会保障资金的承诺函或提供</w:t>
      </w:r>
      <w:r>
        <w:rPr>
          <w:rFonts w:hint="eastAsia" w:ascii="仿宋_GB2312" w:hAnsi="仿宋_GB2312" w:eastAsia="仿宋_GB2312" w:cs="仿宋_GB2312"/>
          <w:color w:val="auto"/>
          <w:spacing w:val="0"/>
          <w:sz w:val="32"/>
          <w:szCs w:val="32"/>
          <w:highlight w:val="none"/>
          <w:lang w:eastAsia="zh-CN"/>
        </w:rPr>
        <w:t>投标/响应</w:t>
      </w:r>
      <w:r>
        <w:rPr>
          <w:rFonts w:hint="eastAsia" w:ascii="仿宋_GB2312" w:hAnsi="仿宋_GB2312" w:eastAsia="仿宋_GB2312" w:cs="仿宋_GB2312"/>
          <w:color w:val="auto"/>
          <w:spacing w:val="0"/>
          <w:sz w:val="32"/>
          <w:szCs w:val="32"/>
          <w:highlight w:val="none"/>
        </w:rPr>
        <w:t>截止时间前六个月（不含</w:t>
      </w:r>
      <w:r>
        <w:rPr>
          <w:rFonts w:hint="eastAsia" w:ascii="仿宋_GB2312" w:hAnsi="仿宋_GB2312" w:eastAsia="仿宋_GB2312" w:cs="仿宋_GB2312"/>
          <w:color w:val="auto"/>
          <w:spacing w:val="0"/>
          <w:sz w:val="32"/>
          <w:szCs w:val="32"/>
          <w:highlight w:val="none"/>
          <w:lang w:eastAsia="zh-CN"/>
        </w:rPr>
        <w:t>投标/响应</w:t>
      </w:r>
      <w:r>
        <w:rPr>
          <w:rFonts w:hint="eastAsia" w:ascii="仿宋_GB2312" w:hAnsi="仿宋_GB2312" w:eastAsia="仿宋_GB2312" w:cs="仿宋_GB2312"/>
          <w:color w:val="auto"/>
          <w:spacing w:val="0"/>
          <w:sz w:val="32"/>
          <w:szCs w:val="32"/>
          <w:highlight w:val="none"/>
        </w:rPr>
        <w:t>截止时间的当月）中任一个月的依法缴纳税收</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完税证明或无欠税证明</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pacing w:val="0"/>
          <w:sz w:val="32"/>
          <w:szCs w:val="32"/>
          <w:highlight w:val="none"/>
        </w:rPr>
        <w:t>和社会保障资金的凭据(详见附件“响应文件格式”)；</w:t>
      </w:r>
    </w:p>
    <w:p w14:paraId="5713D4DC">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（5）</w:t>
      </w:r>
      <w:r>
        <w:rPr>
          <w:rFonts w:hint="eastAsia" w:ascii="仿宋_GB2312" w:hAnsi="仿宋_GB2312" w:eastAsia="仿宋_GB2312" w:cs="仿宋_GB2312"/>
          <w:color w:val="auto"/>
          <w:spacing w:val="0"/>
          <w:sz w:val="32"/>
          <w:szCs w:val="32"/>
          <w:highlight w:val="none"/>
        </w:rPr>
        <w:t>参加本项目响应前3年内在经营活动中没有重大违法记录的书面声明函(详见附件“响应文件格式”)；</w:t>
      </w:r>
    </w:p>
    <w:p w14:paraId="7FEAD27D">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（6）</w:t>
      </w:r>
      <w:r>
        <w:rPr>
          <w:rFonts w:hint="eastAsia" w:ascii="仿宋_GB2312" w:hAnsi="仿宋_GB2312" w:eastAsia="仿宋_GB2312" w:cs="仿宋_GB2312"/>
          <w:color w:val="auto"/>
          <w:spacing w:val="0"/>
          <w:sz w:val="32"/>
          <w:szCs w:val="32"/>
          <w:highlight w:val="none"/>
        </w:rPr>
        <w:t>具备履行合同所必需的设备和专业技术能力的声明函(详见附件“响应文件格式”)；</w:t>
      </w:r>
    </w:p>
    <w:p w14:paraId="7D4B540A">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（7）</w:t>
      </w:r>
      <w:r>
        <w:rPr>
          <w:rFonts w:hint="eastAsia" w:ascii="仿宋_GB2312" w:hAnsi="仿宋_GB2312" w:eastAsia="仿宋_GB2312" w:cs="仿宋_GB2312"/>
          <w:color w:val="auto"/>
          <w:spacing w:val="0"/>
          <w:sz w:val="32"/>
          <w:szCs w:val="32"/>
          <w:highlight w:val="none"/>
        </w:rPr>
        <w:t>信用信息查询记录证明材料（根据财库〔2016〕125号文件规定，供应商不得被列入失信被执行人、重大税收违法案件当事人名单、政府采购严重违法失信行为记录名单）。供应商针对“信用记录查询结果”可自主提供证明材料，未提供该证明材料的不视为响应无效。信用记录的审查：由</w:t>
      </w:r>
      <w:r>
        <w:rPr>
          <w:rFonts w:hint="eastAsia" w:ascii="仿宋_GB2312" w:hAnsi="仿宋_GB2312" w:eastAsia="仿宋_GB2312" w:cs="仿宋_GB2312"/>
          <w:color w:val="auto"/>
          <w:spacing w:val="0"/>
          <w:sz w:val="32"/>
          <w:szCs w:val="32"/>
          <w:highlight w:val="none"/>
          <w:lang w:eastAsia="zh-CN"/>
        </w:rPr>
        <w:t>谈判</w:t>
      </w:r>
      <w:r>
        <w:rPr>
          <w:rFonts w:hint="eastAsia" w:ascii="仿宋_GB2312" w:hAnsi="仿宋_GB2312" w:eastAsia="仿宋_GB2312" w:cs="仿宋_GB2312"/>
          <w:color w:val="auto"/>
          <w:spacing w:val="0"/>
          <w:sz w:val="32"/>
          <w:szCs w:val="32"/>
          <w:highlight w:val="none"/>
        </w:rPr>
        <w:t>小组通过“信用中国”网站（www.creditchina.gov.cn）和中国政府采购网（www.ccgp.gov.cn）查询并打印供应商信用记录。若查询结果存在供应商应被拒绝参与政府采购活动相关信息的，其资格审查不合格）。</w:t>
      </w:r>
    </w:p>
    <w:p w14:paraId="2E3651D6">
      <w:pPr>
        <w:keepNext w:val="0"/>
        <w:keepLines w:val="0"/>
        <w:pageBreakBefore w:val="0"/>
        <w:widowControl/>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0"/>
          <w:sz w:val="32"/>
          <w:szCs w:val="32"/>
          <w:highlight w:val="none"/>
          <w:lang w:val="en-US" w:eastAsia="zh-CN"/>
        </w:rPr>
        <w:t>（8）</w:t>
      </w:r>
      <w:r>
        <w:rPr>
          <w:rFonts w:hint="eastAsia" w:ascii="仿宋_GB2312" w:hAnsi="仿宋_GB2312" w:eastAsia="仿宋_GB2312" w:cs="仿宋_GB2312"/>
          <w:color w:val="auto"/>
          <w:spacing w:val="0"/>
          <w:sz w:val="32"/>
          <w:szCs w:val="32"/>
          <w:highlight w:val="none"/>
        </w:rPr>
        <w:t>本项目不接受联合体</w:t>
      </w:r>
      <w:r>
        <w:rPr>
          <w:rFonts w:hint="eastAsia" w:ascii="仿宋_GB2312" w:hAnsi="仿宋_GB2312" w:eastAsia="仿宋_GB2312" w:cs="仿宋_GB2312"/>
          <w:color w:val="auto"/>
          <w:spacing w:val="0"/>
          <w:sz w:val="32"/>
          <w:szCs w:val="32"/>
          <w:highlight w:val="none"/>
          <w:lang w:val="en-US" w:eastAsia="zh-CN"/>
        </w:rPr>
        <w:t>响应</w:t>
      </w:r>
      <w:r>
        <w:rPr>
          <w:rFonts w:hint="eastAsia" w:ascii="仿宋_GB2312" w:hAnsi="仿宋_GB2312" w:eastAsia="仿宋_GB2312" w:cs="仿宋_GB2312"/>
          <w:color w:val="auto"/>
          <w:spacing w:val="0"/>
          <w:sz w:val="32"/>
          <w:szCs w:val="32"/>
          <w:highlight w:val="none"/>
        </w:rPr>
        <w:t>，不允许分包</w:t>
      </w:r>
      <w:r>
        <w:rPr>
          <w:rFonts w:hint="eastAsia" w:ascii="仿宋_GB2312" w:hAnsi="仿宋_GB2312" w:eastAsia="仿宋_GB2312" w:cs="仿宋_GB2312"/>
          <w:color w:val="auto"/>
          <w:spacing w:val="0"/>
          <w:sz w:val="32"/>
          <w:szCs w:val="32"/>
          <w:highlight w:val="none"/>
          <w:lang w:eastAsia="zh-CN"/>
        </w:rPr>
        <w:t>、转包</w:t>
      </w:r>
      <w:r>
        <w:rPr>
          <w:rFonts w:hint="eastAsia" w:ascii="仿宋_GB2312" w:hAnsi="仿宋_GB2312" w:eastAsia="仿宋_GB2312" w:cs="仿宋_GB2312"/>
          <w:color w:val="auto"/>
          <w:sz w:val="32"/>
          <w:szCs w:val="32"/>
          <w:highlight w:val="none"/>
        </w:rPr>
        <w:t>（需提供承诺函或声明函）。</w:t>
      </w:r>
    </w:p>
    <w:p w14:paraId="3383B410">
      <w:pPr>
        <w:keepNext w:val="0"/>
        <w:keepLines w:val="0"/>
        <w:pageBreakBefore w:val="0"/>
        <w:kinsoku/>
        <w:overflowPunct/>
        <w:topLinePunct w:val="0"/>
        <w:autoSpaceDE/>
        <w:autoSpaceDN/>
        <w:bidi w:val="0"/>
        <w:adjustRightInd/>
        <w:spacing w:beforeLines="0" w:afterLines="0"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本项目为专门面向中小企业</w:t>
      </w:r>
      <w:r>
        <w:rPr>
          <w:rFonts w:hint="eastAsia" w:ascii="仿宋_GB2312" w:hAnsi="仿宋_GB2312" w:eastAsia="仿宋_GB2312" w:cs="仿宋_GB2312"/>
          <w:color w:val="000000"/>
          <w:sz w:val="32"/>
          <w:szCs w:val="32"/>
          <w:lang w:eastAsia="zh-CN"/>
        </w:rPr>
        <w:t>采购</w:t>
      </w:r>
      <w:r>
        <w:rPr>
          <w:rFonts w:hint="eastAsia" w:ascii="仿宋_GB2312" w:hAnsi="仿宋_GB2312" w:eastAsia="仿宋_GB2312" w:cs="仿宋_GB2312"/>
          <w:color w:val="000000"/>
          <w:sz w:val="32"/>
          <w:szCs w:val="32"/>
        </w:rPr>
        <w:t>项目，供应商应按以下要求提供相关证明材料：①供应商符合《工业和信息化部、国家统计局、国家发展和改革委员会、财政部关于印发中小企业划型标准规定的通知》（工信部联企业[2011]300号）规定的中小企业划分标准，提供《中小企业声明函》（</w:t>
      </w:r>
      <w:r>
        <w:rPr>
          <w:rFonts w:hint="eastAsia" w:ascii="仿宋_GB2312" w:hAnsi="仿宋_GB2312" w:eastAsia="仿宋_GB2312" w:cs="仿宋_GB2312"/>
          <w:color w:val="000000"/>
          <w:sz w:val="32"/>
          <w:szCs w:val="32"/>
          <w:lang w:eastAsia="zh-CN"/>
        </w:rPr>
        <w:t>服务</w:t>
      </w:r>
      <w:r>
        <w:rPr>
          <w:rFonts w:hint="eastAsia" w:ascii="仿宋_GB2312" w:hAnsi="仿宋_GB2312" w:eastAsia="仿宋_GB2312" w:cs="仿宋_GB2312"/>
          <w:color w:val="000000"/>
          <w:sz w:val="32"/>
          <w:szCs w:val="32"/>
        </w:rPr>
        <w:t>类）。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供应商应按照响应文件格式规定提供。本项目为</w:t>
      </w:r>
      <w:r>
        <w:rPr>
          <w:rFonts w:hint="eastAsia" w:ascii="仿宋_GB2312" w:hAnsi="仿宋_GB2312" w:eastAsia="仿宋_GB2312" w:cs="仿宋_GB2312"/>
          <w:color w:val="000000"/>
          <w:sz w:val="32"/>
          <w:szCs w:val="32"/>
          <w:lang w:eastAsia="zh-CN"/>
        </w:rPr>
        <w:t>服务</w:t>
      </w:r>
      <w:r>
        <w:rPr>
          <w:rFonts w:hint="eastAsia" w:ascii="仿宋_GB2312" w:hAnsi="仿宋_GB2312" w:eastAsia="仿宋_GB2312" w:cs="仿宋_GB2312"/>
          <w:color w:val="000000"/>
          <w:sz w:val="32"/>
          <w:szCs w:val="32"/>
        </w:rPr>
        <w:t>类采购项目，本项目（采购标的）所属行业为“</w:t>
      </w:r>
      <w:r>
        <w:rPr>
          <w:rFonts w:hint="eastAsia" w:ascii="仿宋_GB2312" w:hAnsi="仿宋_GB2312" w:eastAsia="仿宋_GB2312" w:cs="仿宋_GB2312"/>
          <w:color w:val="000000"/>
          <w:sz w:val="32"/>
          <w:szCs w:val="32"/>
          <w:lang w:eastAsia="zh-CN"/>
        </w:rPr>
        <w:t>其他未列明行业</w:t>
      </w:r>
      <w:r>
        <w:rPr>
          <w:rFonts w:hint="eastAsia" w:ascii="仿宋_GB2312" w:hAnsi="仿宋_GB2312" w:eastAsia="仿宋_GB2312" w:cs="仿宋_GB2312"/>
          <w:color w:val="000000"/>
          <w:sz w:val="32"/>
          <w:szCs w:val="32"/>
        </w:rPr>
        <w:t>”。</w:t>
      </w:r>
    </w:p>
    <w:p w14:paraId="7EA6F242">
      <w:pPr>
        <w:keepNext w:val="0"/>
        <w:keepLines w:val="0"/>
        <w:pageBreakBefore w:val="0"/>
        <w:kinsoku/>
        <w:overflowPunct/>
        <w:topLinePunct w:val="0"/>
        <w:autoSpaceDE/>
        <w:autoSpaceDN/>
        <w:bidi w:val="0"/>
        <w:adjustRightInd/>
        <w:spacing w:beforeLines="0" w:afterLines="0" w:line="560" w:lineRule="exact"/>
        <w:ind w:firstLine="640" w:firstLineChars="200"/>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lang w:val="en-US" w:eastAsia="zh-CN"/>
        </w:rPr>
        <w:t>1.2</w:t>
      </w:r>
      <w:r>
        <w:rPr>
          <w:rFonts w:hint="eastAsia" w:ascii="仿宋_GB2312" w:hAnsi="仿宋_GB2312" w:eastAsia="仿宋_GB2312" w:cs="仿宋_GB2312"/>
          <w:color w:val="auto"/>
          <w:spacing w:val="0"/>
          <w:kern w:val="2"/>
          <w:sz w:val="32"/>
          <w:szCs w:val="32"/>
          <w:highlight w:val="none"/>
          <w:lang w:val="en-US" w:eastAsia="zh-CN" w:bidi="ar-SA"/>
        </w:rPr>
        <w:t>资格承诺函</w:t>
      </w:r>
      <w:r>
        <w:rPr>
          <w:rFonts w:hint="eastAsia" w:ascii="仿宋_GB2312" w:hAnsi="仿宋_GB2312" w:eastAsia="仿宋_GB2312" w:cs="仿宋_GB2312"/>
          <w:color w:val="auto"/>
          <w:spacing w:val="0"/>
          <w:sz w:val="32"/>
          <w:szCs w:val="32"/>
          <w:highlight w:val="none"/>
          <w:lang w:eastAsia="zh-CN"/>
        </w:rPr>
        <w:t>：</w:t>
      </w:r>
    </w:p>
    <w:p w14:paraId="0C542C69">
      <w:pPr>
        <w:pStyle w:val="6"/>
        <w:keepNext w:val="0"/>
        <w:keepLines w:val="0"/>
        <w:pageBreakBefore w:val="0"/>
        <w:widowControl/>
        <w:kinsoku/>
        <w:wordWrap/>
        <w:overflowPunct/>
        <w:topLinePunct w:val="0"/>
        <w:autoSpaceDE/>
        <w:autoSpaceDN/>
        <w:bidi w:val="0"/>
        <w:adjustRightInd/>
        <w:snapToGrid/>
        <w:spacing w:beforeLines="0" w:afterLines="0" w:line="560" w:lineRule="exact"/>
        <w:ind w:left="0" w:firstLine="640" w:firstLineChars="200"/>
        <w:jc w:val="left"/>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kern w:val="2"/>
          <w:sz w:val="32"/>
          <w:szCs w:val="32"/>
          <w:highlight w:val="none"/>
          <w:lang w:val="en-US" w:eastAsia="zh-CN" w:bidi="ar-SA"/>
        </w:rPr>
        <w:t>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r>
        <w:rPr>
          <w:rFonts w:hint="eastAsia" w:ascii="仿宋_GB2312" w:hAnsi="仿宋_GB2312" w:eastAsia="仿宋_GB2312" w:cs="仿宋_GB2312"/>
          <w:color w:val="auto"/>
          <w:spacing w:val="0"/>
          <w:sz w:val="32"/>
          <w:szCs w:val="32"/>
          <w:highlight w:val="none"/>
        </w:rPr>
        <w:t>(详见附件“响应文件格式”)</w:t>
      </w:r>
    </w:p>
    <w:p w14:paraId="382B2BD6">
      <w:pPr>
        <w:pStyle w:val="6"/>
        <w:keepNext w:val="0"/>
        <w:keepLines w:val="0"/>
        <w:pageBreakBefore w:val="0"/>
        <w:widowControl/>
        <w:kinsoku/>
        <w:wordWrap/>
        <w:overflowPunct/>
        <w:topLinePunct w:val="0"/>
        <w:autoSpaceDE/>
        <w:autoSpaceDN/>
        <w:bidi w:val="0"/>
        <w:adjustRightInd/>
        <w:snapToGrid/>
        <w:spacing w:beforeLines="0" w:afterLines="0" w:line="560" w:lineRule="exact"/>
        <w:ind w:left="0" w:firstLine="640" w:firstLineChars="200"/>
        <w:jc w:val="left"/>
        <w:textAlignment w:val="auto"/>
        <w:outlineLvl w:val="9"/>
        <w:rPr>
          <w:rFonts w:hint="eastAsia" w:ascii="仿宋_GB2312" w:hAnsi="仿宋_GB2312" w:eastAsia="仿宋_GB2312" w:cs="仿宋_GB2312"/>
          <w:b/>
          <w:bCs/>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1.3</w:t>
      </w:r>
      <w:r>
        <w:rPr>
          <w:rFonts w:hint="eastAsia" w:ascii="仿宋_GB2312" w:hAnsi="仿宋_GB2312" w:eastAsia="仿宋_GB2312" w:cs="仿宋_GB2312"/>
          <w:b w:val="0"/>
          <w:bCs w:val="0"/>
          <w:color w:val="auto"/>
          <w:spacing w:val="0"/>
          <w:sz w:val="32"/>
          <w:szCs w:val="32"/>
          <w:highlight w:val="none"/>
          <w:lang w:val="en-US" w:eastAsia="zh-CN"/>
        </w:rPr>
        <w:t>特定资格要求</w:t>
      </w:r>
      <w:r>
        <w:rPr>
          <w:rFonts w:hint="eastAsia" w:ascii="仿宋_GB2312" w:hAnsi="仿宋_GB2312" w:eastAsia="仿宋_GB2312" w:cs="仿宋_GB2312"/>
          <w:b/>
          <w:bCs/>
          <w:color w:val="auto"/>
          <w:spacing w:val="0"/>
          <w:sz w:val="32"/>
          <w:szCs w:val="32"/>
          <w:highlight w:val="none"/>
          <w:lang w:val="en-US" w:eastAsia="zh-CN"/>
        </w:rPr>
        <w:t>：</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b w:val="0"/>
          <w:bCs w:val="0"/>
          <w:color w:val="000000"/>
          <w:sz w:val="32"/>
          <w:szCs w:val="32"/>
        </w:rPr>
        <w:t>。</w:t>
      </w:r>
    </w:p>
    <w:p w14:paraId="26EBE547">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、资格审查采用方式：开标后即开始评标。</w:t>
      </w:r>
    </w:p>
    <w:p w14:paraId="097942F2">
      <w:pPr>
        <w:pStyle w:val="9"/>
        <w:keepNext w:val="0"/>
        <w:keepLines w:val="0"/>
        <w:pageBreakBefore w:val="0"/>
        <w:widowControl/>
        <w:numPr>
          <w:ilvl w:val="0"/>
          <w:numId w:val="0"/>
        </w:numPr>
        <w:suppressLineNumbers w:val="0"/>
        <w:kinsoku/>
        <w:overflowPunct/>
        <w:topLinePunct w:val="0"/>
        <w:autoSpaceDE/>
        <w:autoSpaceDN/>
        <w:bidi w:val="0"/>
        <w:adjustRightInd/>
        <w:spacing w:before="0" w:beforeAutospacing="0" w:after="0" w:afterAutospacing="0" w:line="560" w:lineRule="exact"/>
        <w:ind w:left="0" w:firstLine="640" w:firstLineChars="200"/>
        <w:rPr>
          <w:rStyle w:val="12"/>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、本项目为非政府采购项目，参照政府采购</w:t>
      </w:r>
      <w:r>
        <w:rPr>
          <w:rFonts w:hint="eastAsia" w:ascii="仿宋_GB2312" w:hAnsi="仿宋_GB2312" w:eastAsia="仿宋_GB2312" w:cs="仿宋_GB2312"/>
          <w:color w:val="auto"/>
          <w:sz w:val="32"/>
          <w:szCs w:val="32"/>
          <w:highlight w:val="none"/>
          <w:lang w:eastAsia="zh-CN"/>
        </w:rPr>
        <w:t>竞争性谈判</w:t>
      </w:r>
      <w:r>
        <w:rPr>
          <w:rFonts w:hint="eastAsia" w:ascii="仿宋_GB2312" w:hAnsi="仿宋_GB2312" w:eastAsia="仿宋_GB2312" w:cs="仿宋_GB2312"/>
          <w:color w:val="auto"/>
          <w:sz w:val="32"/>
          <w:szCs w:val="32"/>
          <w:highlight w:val="none"/>
        </w:rPr>
        <w:t>的流程进行。供应商应对响应文件资料的真实性负责，</w:t>
      </w:r>
      <w:r>
        <w:rPr>
          <w:rFonts w:hint="eastAsia" w:ascii="仿宋_GB2312" w:hAnsi="仿宋_GB2312" w:eastAsia="仿宋_GB2312" w:cs="仿宋_GB2312"/>
          <w:color w:val="auto"/>
          <w:sz w:val="32"/>
          <w:szCs w:val="32"/>
          <w:highlight w:val="none"/>
          <w:lang w:eastAsia="zh-CN"/>
        </w:rPr>
        <w:t>采购人</w:t>
      </w:r>
      <w:r>
        <w:rPr>
          <w:rFonts w:hint="eastAsia" w:ascii="仿宋_GB2312" w:hAnsi="仿宋_GB2312" w:eastAsia="仿宋_GB2312" w:cs="仿宋_GB2312"/>
          <w:color w:val="auto"/>
          <w:sz w:val="32"/>
          <w:szCs w:val="32"/>
          <w:highlight w:val="none"/>
        </w:rPr>
        <w:t>在授予合同之前有权对其响应文件资料进行核实，如发现所提交的资料不真实，</w:t>
      </w:r>
      <w:r>
        <w:rPr>
          <w:rFonts w:hint="eastAsia" w:ascii="仿宋_GB2312" w:hAnsi="仿宋_GB2312" w:eastAsia="仿宋_GB2312" w:cs="仿宋_GB2312"/>
          <w:color w:val="auto"/>
          <w:sz w:val="32"/>
          <w:szCs w:val="32"/>
          <w:highlight w:val="none"/>
          <w:lang w:eastAsia="zh-CN"/>
        </w:rPr>
        <w:t>采购人</w:t>
      </w:r>
      <w:r>
        <w:rPr>
          <w:rFonts w:hint="eastAsia" w:ascii="仿宋_GB2312" w:hAnsi="仿宋_GB2312" w:eastAsia="仿宋_GB2312" w:cs="仿宋_GB2312"/>
          <w:color w:val="auto"/>
          <w:sz w:val="32"/>
          <w:szCs w:val="32"/>
          <w:highlight w:val="none"/>
        </w:rPr>
        <w:t>将视其为以弄虚作假方式骗取成交，其成交无效，若给</w:t>
      </w:r>
      <w:r>
        <w:rPr>
          <w:rFonts w:hint="eastAsia" w:ascii="仿宋_GB2312" w:hAnsi="仿宋_GB2312" w:eastAsia="仿宋_GB2312" w:cs="仿宋_GB2312"/>
          <w:color w:val="auto"/>
          <w:sz w:val="32"/>
          <w:szCs w:val="32"/>
          <w:highlight w:val="none"/>
          <w:lang w:eastAsia="zh-CN"/>
        </w:rPr>
        <w:t>采购人</w:t>
      </w:r>
      <w:r>
        <w:rPr>
          <w:rFonts w:hint="eastAsia" w:ascii="仿宋_GB2312" w:hAnsi="仿宋_GB2312" w:eastAsia="仿宋_GB2312" w:cs="仿宋_GB2312"/>
          <w:color w:val="auto"/>
          <w:sz w:val="32"/>
          <w:szCs w:val="32"/>
          <w:highlight w:val="none"/>
        </w:rPr>
        <w:t>造成损失的，应依法承担赔偿责任。</w:t>
      </w:r>
    </w:p>
    <w:p w14:paraId="3972EC15">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3" w:firstLineChars="200"/>
        <w:rPr>
          <w:rFonts w:hint="eastAsia" w:ascii="仿宋_GB2312" w:hAnsi="仿宋_GB2312" w:eastAsia="仿宋_GB2312" w:cs="仿宋_GB2312"/>
          <w:sz w:val="32"/>
          <w:szCs w:val="32"/>
        </w:rPr>
      </w:pPr>
      <w:r>
        <w:rPr>
          <w:rStyle w:val="12"/>
          <w:rFonts w:hint="eastAsia" w:ascii="仿宋_GB2312" w:hAnsi="仿宋_GB2312" w:eastAsia="仿宋_GB2312" w:cs="仿宋_GB2312"/>
          <w:sz w:val="32"/>
          <w:szCs w:val="32"/>
          <w:lang w:eastAsia="zh-CN"/>
        </w:rPr>
        <w:t>五</w:t>
      </w:r>
      <w:r>
        <w:rPr>
          <w:rStyle w:val="12"/>
          <w:rFonts w:hint="eastAsia" w:ascii="仿宋_GB2312" w:hAnsi="仿宋_GB2312" w:eastAsia="仿宋_GB2312" w:cs="仿宋_GB2312"/>
          <w:sz w:val="32"/>
          <w:szCs w:val="32"/>
        </w:rPr>
        <w:t>、谈判文件的获取</w:t>
      </w:r>
    </w:p>
    <w:p w14:paraId="3301980A">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1、本谈判项目不采用电子谈判。</w:t>
      </w:r>
    </w:p>
    <w:p w14:paraId="4B9CB32A">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b w:val="0"/>
          <w:spacing w:val="0"/>
          <w:sz w:val="32"/>
          <w:szCs w:val="32"/>
          <w:lang w:val="en-US"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谈判文件</w:t>
      </w:r>
      <w:r>
        <w:rPr>
          <w:rFonts w:hint="eastAsia" w:ascii="仿宋_GB2312" w:hAnsi="仿宋_GB2312" w:eastAsia="仿宋_GB2312" w:cs="仿宋_GB2312"/>
          <w:sz w:val="32"/>
          <w:szCs w:val="32"/>
        </w:rPr>
        <w:t>请自行在网站上</w:t>
      </w:r>
      <w:r>
        <w:rPr>
          <w:rFonts w:hint="eastAsia" w:ascii="仿宋_GB2312" w:hAnsi="仿宋_GB2312" w:eastAsia="仿宋_GB2312" w:cs="仿宋_GB2312"/>
          <w:sz w:val="32"/>
          <w:szCs w:val="32"/>
          <w:lang w:eastAsia="zh-CN"/>
        </w:rPr>
        <w:t>查看：</w:t>
      </w:r>
      <w:r>
        <w:rPr>
          <w:rFonts w:hint="eastAsia" w:ascii="仿宋_GB2312" w:hAnsi="仿宋_GB2312" w:eastAsia="仿宋_GB2312" w:cs="仿宋_GB2312"/>
          <w:b w:val="0"/>
          <w:spacing w:val="0"/>
          <w:sz w:val="32"/>
          <w:szCs w:val="32"/>
          <w:lang w:val="en-US" w:eastAsia="zh-CN"/>
        </w:rPr>
        <w:fldChar w:fldCharType="begin"/>
      </w:r>
      <w:r>
        <w:rPr>
          <w:rFonts w:hint="eastAsia" w:ascii="仿宋_GB2312" w:hAnsi="仿宋_GB2312" w:eastAsia="仿宋_GB2312" w:cs="仿宋_GB2312"/>
          <w:b w:val="0"/>
          <w:spacing w:val="0"/>
          <w:sz w:val="32"/>
          <w:szCs w:val="32"/>
          <w:lang w:val="en-US" w:eastAsia="zh-CN"/>
        </w:rPr>
        <w:instrText xml:space="preserve"> HYPERLINK "http://www.fjsj.com/" </w:instrText>
      </w:r>
      <w:r>
        <w:rPr>
          <w:rFonts w:hint="eastAsia" w:ascii="仿宋_GB2312" w:hAnsi="仿宋_GB2312" w:eastAsia="仿宋_GB2312" w:cs="仿宋_GB2312"/>
          <w:b w:val="0"/>
          <w:spacing w:val="0"/>
          <w:sz w:val="32"/>
          <w:szCs w:val="32"/>
          <w:lang w:val="en-US" w:eastAsia="zh-CN"/>
        </w:rPr>
        <w:fldChar w:fldCharType="separate"/>
      </w:r>
      <w:r>
        <w:rPr>
          <w:rStyle w:val="14"/>
          <w:rFonts w:hint="eastAsia" w:ascii="仿宋_GB2312" w:hAnsi="仿宋_GB2312" w:eastAsia="仿宋_GB2312" w:cs="仿宋_GB2312"/>
          <w:b w:val="0"/>
          <w:spacing w:val="0"/>
          <w:sz w:val="32"/>
          <w:szCs w:val="32"/>
          <w:lang w:val="en-US" w:eastAsia="zh-CN"/>
        </w:rPr>
        <w:t>http://www.fjsj.com/</w:t>
      </w:r>
      <w:r>
        <w:rPr>
          <w:rFonts w:hint="eastAsia" w:ascii="仿宋_GB2312" w:hAnsi="仿宋_GB2312" w:eastAsia="仿宋_GB2312" w:cs="仿宋_GB2312"/>
          <w:b w:val="0"/>
          <w:spacing w:val="0"/>
          <w:sz w:val="32"/>
          <w:szCs w:val="32"/>
          <w:lang w:val="en-US" w:eastAsia="zh-CN"/>
        </w:rPr>
        <w:fldChar w:fldCharType="end"/>
      </w:r>
    </w:p>
    <w:p w14:paraId="4DFF785B">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3、项目联系人</w:t>
      </w:r>
    </w:p>
    <w:p w14:paraId="4CF65103">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采购单位</w:t>
      </w: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陈工</w:t>
      </w:r>
      <w:r>
        <w:rPr>
          <w:rFonts w:hint="eastAsia" w:ascii="仿宋_GB2312" w:hAnsi="仿宋_GB2312" w:eastAsia="仿宋_GB2312" w:cs="仿宋_GB2312"/>
          <w:sz w:val="32"/>
          <w:szCs w:val="32"/>
          <w:lang w:val="en-US" w:eastAsia="zh-CN"/>
        </w:rPr>
        <w:t xml:space="preserve">      </w:t>
      </w:r>
    </w:p>
    <w:p w14:paraId="654BEFEF">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 xml:space="preserve">0591-87837549   </w:t>
      </w:r>
    </w:p>
    <w:p w14:paraId="4BE5002F">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监督电话：0591-88013120 </w:t>
      </w:r>
    </w:p>
    <w:p w14:paraId="3A6B8C47">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3" w:firstLineChars="200"/>
        <w:rPr>
          <w:rFonts w:hint="eastAsia" w:ascii="仿宋_GB2312" w:hAnsi="仿宋_GB2312" w:eastAsia="仿宋_GB2312" w:cs="仿宋_GB2312"/>
          <w:sz w:val="32"/>
          <w:szCs w:val="32"/>
        </w:rPr>
      </w:pPr>
      <w:r>
        <w:rPr>
          <w:rStyle w:val="12"/>
          <w:rFonts w:hint="eastAsia" w:ascii="仿宋_GB2312" w:hAnsi="仿宋_GB2312" w:eastAsia="仿宋_GB2312" w:cs="仿宋_GB2312"/>
          <w:sz w:val="32"/>
          <w:szCs w:val="32"/>
          <w:lang w:eastAsia="zh-CN"/>
        </w:rPr>
        <w:t>六</w:t>
      </w:r>
      <w:r>
        <w:rPr>
          <w:rStyle w:val="12"/>
          <w:rFonts w:hint="eastAsia" w:ascii="仿宋_GB2312" w:hAnsi="仿宋_GB2312" w:eastAsia="仿宋_GB2312" w:cs="仿宋_GB2312"/>
          <w:sz w:val="32"/>
          <w:szCs w:val="32"/>
        </w:rPr>
        <w:t>、答疑截止时间</w:t>
      </w:r>
    </w:p>
    <w:p w14:paraId="2C3B9ED1">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供应商若要求澄清谈判文件，应在获取谈判文件后的1个工作日内提出，</w:t>
      </w:r>
      <w:r>
        <w:rPr>
          <w:rFonts w:hint="eastAsia" w:ascii="仿宋_GB2312" w:hAnsi="仿宋_GB2312" w:eastAsia="仿宋_GB2312" w:cs="仿宋_GB2312"/>
          <w:sz w:val="32"/>
          <w:szCs w:val="32"/>
          <w:lang w:eastAsia="zh-CN"/>
        </w:rPr>
        <w:t>采购人</w:t>
      </w:r>
      <w:r>
        <w:rPr>
          <w:rFonts w:hint="eastAsia" w:ascii="仿宋_GB2312" w:hAnsi="仿宋_GB2312" w:eastAsia="仿宋_GB2312" w:cs="仿宋_GB2312"/>
          <w:sz w:val="32"/>
          <w:szCs w:val="32"/>
        </w:rPr>
        <w:t>将随时解答。</w:t>
      </w:r>
    </w:p>
    <w:p w14:paraId="50DAC51D">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3" w:firstLineChars="200"/>
        <w:rPr>
          <w:rFonts w:hint="eastAsia" w:ascii="仿宋_GB2312" w:hAnsi="仿宋_GB2312" w:eastAsia="仿宋_GB2312" w:cs="仿宋_GB2312"/>
          <w:sz w:val="32"/>
          <w:szCs w:val="32"/>
        </w:rPr>
      </w:pPr>
      <w:r>
        <w:rPr>
          <w:rStyle w:val="12"/>
          <w:rFonts w:hint="eastAsia" w:ascii="仿宋_GB2312" w:hAnsi="仿宋_GB2312" w:eastAsia="仿宋_GB2312" w:cs="仿宋_GB2312"/>
          <w:sz w:val="32"/>
          <w:szCs w:val="32"/>
          <w:lang w:eastAsia="zh-CN"/>
        </w:rPr>
        <w:t>七</w:t>
      </w:r>
      <w:r>
        <w:rPr>
          <w:rStyle w:val="12"/>
          <w:rFonts w:hint="eastAsia" w:ascii="仿宋_GB2312" w:hAnsi="仿宋_GB2312" w:eastAsia="仿宋_GB2312" w:cs="仿宋_GB2312"/>
          <w:sz w:val="32"/>
          <w:szCs w:val="32"/>
        </w:rPr>
        <w:t>、响应文件的要求及递交</w:t>
      </w:r>
    </w:p>
    <w:p w14:paraId="22C147B5">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（1）响应文件要求：</w:t>
      </w:r>
    </w:p>
    <w:p w14:paraId="3DAE5A4B">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1）除谈判文件另有规定外，响应文件应使用附件响应文件模板规定的格式。</w:t>
      </w:r>
    </w:p>
    <w:p w14:paraId="256B6571">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2）除谈判文件另有规定外，响应文件的正本和全部副本均应使用不能擦去的墨料或墨水打印、书写或复印，其中：</w:t>
      </w:r>
    </w:p>
    <w:p w14:paraId="5EC3F209">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①正本应用A4幅面纸张打印装订，编制封面（封面标明“正本”字样）、索引、页码，并用胶装装订成册。</w:t>
      </w:r>
    </w:p>
    <w:p w14:paraId="7FDE2A80">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②副本应用A4幅面纸张打印装订，编制封面（封面标明“副本”字样）、索引、页码，并用胶装装订成册；副本可用正本的完整复印件，并与正本保持一致（若不一致，以正本为准）。</w:t>
      </w:r>
    </w:p>
    <w:p w14:paraId="5A106332">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（2）响应文件递交：</w:t>
      </w:r>
    </w:p>
    <w:p w14:paraId="22D5F0DB">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1）响应文件正本1份、副本</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sz w:val="32"/>
          <w:szCs w:val="32"/>
          <w:highlight w:val="none"/>
        </w:rPr>
        <w:t>份，分别标明“正本”“副本”字样，并密封加盖供应商公章。响应文件未密封完好将导致谈判被拒绝。</w:t>
      </w:r>
    </w:p>
    <w:p w14:paraId="49E41F1A">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2）首次响应文件递交时间：供应商应在</w:t>
      </w:r>
      <w:r>
        <w:rPr>
          <w:rFonts w:hint="eastAsia" w:ascii="仿宋_GB2312" w:hAnsi="仿宋_GB2312" w:eastAsia="仿宋_GB2312" w:cs="仿宋_GB2312"/>
          <w:b/>
          <w:bCs/>
          <w:sz w:val="32"/>
          <w:szCs w:val="32"/>
          <w:highlight w:val="none"/>
          <w:lang w:val="en-US" w:eastAsia="zh-CN"/>
        </w:rPr>
        <w:t>2026</w:t>
      </w:r>
      <w:r>
        <w:rPr>
          <w:rFonts w:hint="eastAsia" w:ascii="仿宋_GB2312" w:hAnsi="仿宋_GB2312" w:eastAsia="仿宋_GB2312" w:cs="仿宋_GB2312"/>
          <w:b/>
          <w:bCs/>
          <w:sz w:val="32"/>
          <w:szCs w:val="32"/>
          <w:highlight w:val="none"/>
        </w:rPr>
        <w:t>年</w:t>
      </w:r>
      <w:r>
        <w:rPr>
          <w:rFonts w:hint="eastAsia" w:ascii="仿宋_GB2312" w:hAnsi="仿宋_GB2312" w:eastAsia="仿宋_GB2312" w:cs="仿宋_GB2312"/>
          <w:b/>
          <w:bCs/>
          <w:sz w:val="32"/>
          <w:szCs w:val="32"/>
          <w:highlight w:val="none"/>
          <w:lang w:val="en-US" w:eastAsia="zh-CN"/>
        </w:rPr>
        <w:t>9</w:t>
      </w:r>
      <w:r>
        <w:rPr>
          <w:rFonts w:hint="eastAsia" w:ascii="仿宋_GB2312" w:hAnsi="仿宋_GB2312" w:eastAsia="仿宋_GB2312" w:cs="仿宋_GB2312"/>
          <w:b/>
          <w:bCs/>
          <w:sz w:val="32"/>
          <w:szCs w:val="32"/>
          <w:highlight w:val="none"/>
        </w:rPr>
        <w:t>月</w:t>
      </w:r>
      <w:r>
        <w:rPr>
          <w:rFonts w:hint="eastAsia" w:ascii="仿宋_GB2312" w:hAnsi="仿宋_GB2312" w:eastAsia="仿宋_GB2312" w:cs="仿宋_GB2312"/>
          <w:b/>
          <w:bCs/>
          <w:sz w:val="32"/>
          <w:szCs w:val="32"/>
          <w:highlight w:val="none"/>
          <w:lang w:val="en-US" w:eastAsia="zh-CN"/>
        </w:rPr>
        <w:t>18</w:t>
      </w:r>
      <w:r>
        <w:rPr>
          <w:rFonts w:hint="eastAsia" w:ascii="仿宋_GB2312" w:hAnsi="仿宋_GB2312" w:eastAsia="仿宋_GB2312" w:cs="仿宋_GB2312"/>
          <w:b/>
          <w:bCs/>
          <w:sz w:val="32"/>
          <w:szCs w:val="32"/>
          <w:highlight w:val="none"/>
        </w:rPr>
        <w:t>日</w:t>
      </w:r>
      <w:r>
        <w:rPr>
          <w:rFonts w:hint="eastAsia" w:ascii="仿宋_GB2312" w:hAnsi="仿宋_GB2312" w:eastAsia="仿宋_GB2312" w:cs="仿宋_GB2312"/>
          <w:b/>
          <w:bCs/>
          <w:sz w:val="32"/>
          <w:szCs w:val="32"/>
          <w:highlight w:val="none"/>
          <w:lang w:val="en-US" w:eastAsia="zh-CN"/>
        </w:rPr>
        <w:t xml:space="preserve"> 9:00 </w:t>
      </w:r>
      <w:r>
        <w:rPr>
          <w:rFonts w:hint="eastAsia" w:ascii="仿宋_GB2312" w:hAnsi="仿宋_GB2312" w:eastAsia="仿宋_GB2312" w:cs="仿宋_GB2312"/>
          <w:sz w:val="32"/>
          <w:szCs w:val="32"/>
        </w:rPr>
        <w:t>时之前将密封的响应文件送达</w:t>
      </w:r>
      <w:r>
        <w:rPr>
          <w:rFonts w:hint="eastAsia" w:ascii="仿宋_GB2312" w:hAnsi="仿宋_GB2312" w:eastAsia="仿宋_GB2312" w:cs="仿宋_GB2312"/>
          <w:b/>
          <w:bCs/>
          <w:color w:val="auto"/>
          <w:sz w:val="32"/>
          <w:szCs w:val="32"/>
          <w:highlight w:val="none"/>
          <w:lang w:val="en-US" w:eastAsia="zh-CN"/>
        </w:rPr>
        <w:t>福州市鼓屏路67号设备科办公室，</w:t>
      </w:r>
      <w:r>
        <w:rPr>
          <w:rFonts w:hint="eastAsia" w:ascii="仿宋_GB2312" w:hAnsi="仿宋_GB2312" w:eastAsia="仿宋_GB2312" w:cs="仿宋_GB2312"/>
          <w:sz w:val="32"/>
          <w:szCs w:val="32"/>
        </w:rPr>
        <w:t>逾期送达的或不符合规定的响应文件将被拒绝接收。</w:t>
      </w:r>
    </w:p>
    <w:p w14:paraId="27B772B9">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3" w:firstLineChars="200"/>
        <w:rPr>
          <w:rFonts w:hint="eastAsia" w:ascii="仿宋_GB2312" w:hAnsi="仿宋_GB2312" w:eastAsia="仿宋_GB2312" w:cs="仿宋_GB2312"/>
          <w:sz w:val="32"/>
          <w:szCs w:val="32"/>
        </w:rPr>
      </w:pPr>
      <w:r>
        <w:rPr>
          <w:rStyle w:val="12"/>
          <w:rFonts w:hint="eastAsia" w:ascii="仿宋_GB2312" w:hAnsi="仿宋_GB2312" w:eastAsia="仿宋_GB2312" w:cs="仿宋_GB2312"/>
          <w:sz w:val="32"/>
          <w:szCs w:val="32"/>
          <w:lang w:eastAsia="zh-CN"/>
        </w:rPr>
        <w:t>八</w:t>
      </w:r>
      <w:r>
        <w:rPr>
          <w:rStyle w:val="12"/>
          <w:rFonts w:hint="eastAsia" w:ascii="仿宋_GB2312" w:hAnsi="仿宋_GB2312" w:eastAsia="仿宋_GB2312" w:cs="仿宋_GB2312"/>
          <w:sz w:val="32"/>
          <w:szCs w:val="32"/>
        </w:rPr>
        <w:t>、开标评标时间地点</w:t>
      </w:r>
    </w:p>
    <w:p w14:paraId="53573AD7">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1、响应文件递交截止时间：</w:t>
      </w:r>
      <w:r>
        <w:rPr>
          <w:rFonts w:hint="eastAsia" w:ascii="仿宋_GB2312" w:hAnsi="仿宋_GB2312" w:eastAsia="仿宋_GB2312" w:cs="仿宋_GB2312"/>
          <w:b/>
          <w:bCs/>
          <w:sz w:val="32"/>
          <w:szCs w:val="32"/>
          <w:lang w:val="en-US" w:eastAsia="zh-CN"/>
        </w:rPr>
        <w:t>2026</w:t>
      </w:r>
      <w:r>
        <w:rPr>
          <w:rFonts w:hint="eastAsia" w:ascii="仿宋_GB2312" w:hAnsi="仿宋_GB2312" w:eastAsia="仿宋_GB2312" w:cs="仿宋_GB2312"/>
          <w:b/>
          <w:bCs/>
          <w:sz w:val="32"/>
          <w:szCs w:val="32"/>
          <w:highlight w:val="none"/>
        </w:rPr>
        <w:t>年</w:t>
      </w:r>
      <w:r>
        <w:rPr>
          <w:rFonts w:hint="eastAsia" w:ascii="仿宋_GB2312" w:hAnsi="仿宋_GB2312" w:eastAsia="仿宋_GB2312" w:cs="仿宋_GB2312"/>
          <w:b/>
          <w:bCs/>
          <w:sz w:val="32"/>
          <w:szCs w:val="32"/>
          <w:highlight w:val="none"/>
          <w:lang w:val="en-US" w:eastAsia="zh-CN"/>
        </w:rPr>
        <w:t>9</w:t>
      </w:r>
      <w:r>
        <w:rPr>
          <w:rFonts w:hint="eastAsia" w:ascii="仿宋_GB2312" w:hAnsi="仿宋_GB2312" w:eastAsia="仿宋_GB2312" w:cs="仿宋_GB2312"/>
          <w:b/>
          <w:bCs/>
          <w:sz w:val="32"/>
          <w:szCs w:val="32"/>
          <w:highlight w:val="none"/>
        </w:rPr>
        <w:t>月</w:t>
      </w:r>
      <w:r>
        <w:rPr>
          <w:rFonts w:hint="eastAsia" w:ascii="仿宋_GB2312" w:hAnsi="仿宋_GB2312" w:eastAsia="仿宋_GB2312" w:cs="仿宋_GB2312"/>
          <w:b/>
          <w:bCs/>
          <w:sz w:val="32"/>
          <w:szCs w:val="32"/>
          <w:highlight w:val="none"/>
          <w:lang w:val="en-US" w:eastAsia="zh-CN"/>
        </w:rPr>
        <w:t>18</w:t>
      </w:r>
      <w:r>
        <w:rPr>
          <w:rFonts w:hint="eastAsia" w:ascii="仿宋_GB2312" w:hAnsi="仿宋_GB2312" w:eastAsia="仿宋_GB2312" w:cs="仿宋_GB2312"/>
          <w:b/>
          <w:bCs/>
          <w:sz w:val="32"/>
          <w:szCs w:val="32"/>
          <w:highlight w:val="none"/>
        </w:rPr>
        <w:t>日</w:t>
      </w:r>
      <w:r>
        <w:rPr>
          <w:rFonts w:hint="eastAsia" w:ascii="仿宋_GB2312" w:hAnsi="仿宋_GB2312" w:eastAsia="仿宋_GB2312" w:cs="仿宋_GB2312"/>
          <w:b/>
          <w:bCs/>
          <w:sz w:val="32"/>
          <w:szCs w:val="32"/>
          <w:highlight w:val="none"/>
          <w:lang w:val="en-US" w:eastAsia="zh-CN"/>
        </w:rPr>
        <w:t>9</w:t>
      </w:r>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bCs/>
          <w:sz w:val="32"/>
          <w:szCs w:val="32"/>
          <w:highlight w:val="none"/>
          <w:lang w:val="en-US" w:eastAsia="zh-CN"/>
        </w:rPr>
        <w:t>00</w:t>
      </w:r>
      <w:r>
        <w:rPr>
          <w:rFonts w:hint="eastAsia" w:ascii="仿宋_GB2312" w:hAnsi="仿宋_GB2312" w:eastAsia="仿宋_GB2312" w:cs="仿宋_GB2312"/>
          <w:b/>
          <w:bCs/>
          <w:sz w:val="32"/>
          <w:szCs w:val="32"/>
        </w:rPr>
        <w:t>（北京时间）</w:t>
      </w:r>
    </w:p>
    <w:p w14:paraId="6C445F3C">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2、谈判时间：截标后即开始评审。</w:t>
      </w:r>
    </w:p>
    <w:p w14:paraId="6B2EE3C7">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3、地点：</w:t>
      </w:r>
      <w:r>
        <w:rPr>
          <w:rFonts w:hint="eastAsia" w:ascii="仿宋_GB2312" w:hAnsi="仿宋_GB2312" w:eastAsia="仿宋_GB2312" w:cs="仿宋_GB2312"/>
          <w:color w:val="auto"/>
          <w:sz w:val="32"/>
          <w:szCs w:val="32"/>
          <w:highlight w:val="none"/>
          <w:lang w:val="en-US" w:eastAsia="zh-CN"/>
        </w:rPr>
        <w:t>福州市鼓楼区鼓屏路116号建邦大厦会议室</w:t>
      </w:r>
      <w:r>
        <w:rPr>
          <w:rFonts w:hint="eastAsia" w:ascii="仿宋_GB2312" w:hAnsi="仿宋_GB2312" w:eastAsia="仿宋_GB2312" w:cs="仿宋_GB2312"/>
          <w:sz w:val="32"/>
          <w:szCs w:val="32"/>
          <w:lang w:val="en-US" w:eastAsia="zh-CN"/>
        </w:rPr>
        <w:t xml:space="preserve">   </w:t>
      </w:r>
    </w:p>
    <w:p w14:paraId="1B9CDB19">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3" w:firstLineChars="200"/>
        <w:rPr>
          <w:rFonts w:hint="eastAsia" w:ascii="仿宋_GB2312" w:hAnsi="仿宋_GB2312" w:eastAsia="仿宋_GB2312" w:cs="仿宋_GB2312"/>
          <w:sz w:val="32"/>
          <w:szCs w:val="32"/>
        </w:rPr>
      </w:pPr>
      <w:r>
        <w:rPr>
          <w:rStyle w:val="12"/>
          <w:rFonts w:hint="eastAsia" w:ascii="仿宋_GB2312" w:hAnsi="仿宋_GB2312" w:eastAsia="仿宋_GB2312" w:cs="仿宋_GB2312"/>
          <w:sz w:val="32"/>
          <w:szCs w:val="32"/>
          <w:lang w:eastAsia="zh-CN"/>
        </w:rPr>
        <w:t>九</w:t>
      </w:r>
      <w:r>
        <w:rPr>
          <w:rStyle w:val="12"/>
          <w:rFonts w:hint="eastAsia" w:ascii="仿宋_GB2312" w:hAnsi="仿宋_GB2312" w:eastAsia="仿宋_GB2312" w:cs="仿宋_GB2312"/>
          <w:sz w:val="32"/>
          <w:szCs w:val="32"/>
        </w:rPr>
        <w:t>、定标原则及办法</w:t>
      </w:r>
    </w:p>
    <w:p w14:paraId="1083F008">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1、评标活动遵循公平、公正、科学和择优的原则。</w:t>
      </w:r>
    </w:p>
    <w:p w14:paraId="4DF60BAA">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谈判小组将根据本谈判文件各项要求综合评估，推荐出符合采购要求、符合项目质量和服务要求且报价由高到低前三名为本合同包成交候选人（若属于《政府采购非招标采购方式管理办法》等相关法律法规及财政部门颁布的规范性文件允许的两家供应商进行竞争性谈判采购情形，本次采购项目仍可以继续进行，推荐前两名为本合同包的成交候选人），确定出符合采购要求、符合项目质量和服务要求且报价最</w:t>
      </w:r>
      <w:r>
        <w:rPr>
          <w:rFonts w:hint="eastAsia" w:ascii="仿宋_GB2312" w:hAnsi="仿宋_GB2312" w:eastAsia="仿宋_GB2312" w:cs="仿宋_GB2312"/>
          <w:sz w:val="32"/>
          <w:szCs w:val="32"/>
          <w:lang w:eastAsia="zh-CN"/>
        </w:rPr>
        <w:t>低</w:t>
      </w:r>
      <w:r>
        <w:rPr>
          <w:rFonts w:hint="eastAsia" w:ascii="仿宋_GB2312" w:hAnsi="仿宋_GB2312" w:eastAsia="仿宋_GB2312" w:cs="仿宋_GB2312"/>
          <w:sz w:val="32"/>
          <w:szCs w:val="32"/>
        </w:rPr>
        <w:t>者为本项目成交人（若出现报价相同的情况，则由谈判小组按随机抽取方式确定最终成交候选人）。</w:t>
      </w:r>
    </w:p>
    <w:p w14:paraId="44A81BC5">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3、响应文件无效条款（不满足即为无效响应的实质性条款）及废标条款：具体内容详见竞争性谈判文件各章节，请各供应商认真查看对照。</w:t>
      </w:r>
    </w:p>
    <w:p w14:paraId="2B882FF1">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3.1、供应商若出现下列情形之一的，响应文件也将被视为未实质性响应谈判文件要求，按照无效报价处理：</w:t>
      </w:r>
    </w:p>
    <w:p w14:paraId="7CE87F5C">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(1)未符合谈判文件规定资格标准“供应商资格要求及审查办法”的按照无效响应处理；</w:t>
      </w:r>
    </w:p>
    <w:p w14:paraId="11B173DE">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(2)未符合《服务（货物）一览表》及“采购内容及要求”中的技术要求的按照无效响应处理；</w:t>
      </w:r>
    </w:p>
    <w:p w14:paraId="4FC74449">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(3)响应文件未按照谈判文件要求的规定进行密封、标记的；</w:t>
      </w:r>
    </w:p>
    <w:p w14:paraId="15AED2FC">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(4)未按规定由供应商的法定代表人或其授权代表签字，或未加盖供应商公章的；或签字人未经法定代表人有效授权委托的；</w:t>
      </w:r>
    </w:p>
    <w:p w14:paraId="2A61B2EC">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(5)一个供应商不止投一个标；</w:t>
      </w:r>
    </w:p>
    <w:p w14:paraId="79CCC91E">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(6)供应商提交的是可选择的报价；</w:t>
      </w:r>
    </w:p>
    <w:p w14:paraId="0CE1CA09">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(7)响应文件组成不符合谈判文件要求的；</w:t>
      </w:r>
    </w:p>
    <w:p w14:paraId="1C17BEF8">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(8)响应文件中提供虚假或失实资料的；</w:t>
      </w:r>
    </w:p>
    <w:p w14:paraId="30F0A382">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(9)未按规定签字、提交封面盖公章，并加盖骑缝章且每页盖公章(非报价专用章或业务章)的；</w:t>
      </w:r>
    </w:p>
    <w:p w14:paraId="563A299E">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(10)供应商名称或组织结构与资格性审查时不一致且未提供有效证明的；</w:t>
      </w:r>
    </w:p>
    <w:p w14:paraId="4349C131">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(11)响应文件附有采购人不能接受的条件；</w:t>
      </w:r>
    </w:p>
    <w:p w14:paraId="7C32208A">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(12)不符合谈判文件中规定的实质性要求和条件、实质性条款、无效报价条款的。</w:t>
      </w:r>
    </w:p>
    <w:p w14:paraId="4791D7EC">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3.2、出现下列情形之一的，按废标处理：</w:t>
      </w:r>
    </w:p>
    <w:p w14:paraId="3C509833">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①符合专业条件的供应商或者对谈判文件作实质响应的供应商不足</w:t>
      </w: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sz w:val="32"/>
          <w:szCs w:val="32"/>
        </w:rPr>
        <w:t>家的；</w:t>
      </w:r>
    </w:p>
    <w:p w14:paraId="4B592E39">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②出现影响采购公正的违法、违规行为的；</w:t>
      </w:r>
    </w:p>
    <w:p w14:paraId="62629DD2">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③供应商的报价</w:t>
      </w: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z w:val="32"/>
          <w:szCs w:val="32"/>
        </w:rPr>
        <w:t>于最</w:t>
      </w: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z w:val="32"/>
          <w:szCs w:val="32"/>
        </w:rPr>
        <w:t>限价的；</w:t>
      </w:r>
    </w:p>
    <w:p w14:paraId="195DB1C5">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④因重大变故，采购任务取消的。</w:t>
      </w:r>
    </w:p>
    <w:p w14:paraId="46C908F9">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供应商之间有相互串通投标、弄虚作假等违规行为者，将作废标处理，并在我院未来的项目</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中被拒绝接受投标。</w:t>
      </w:r>
    </w:p>
    <w:p w14:paraId="7877F8F9">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3" w:firstLineChars="200"/>
        <w:rPr>
          <w:rFonts w:hint="eastAsia" w:ascii="仿宋_GB2312" w:hAnsi="仿宋_GB2312" w:eastAsia="仿宋_GB2312" w:cs="仿宋_GB2312"/>
          <w:sz w:val="32"/>
          <w:szCs w:val="32"/>
        </w:rPr>
      </w:pPr>
      <w:r>
        <w:rPr>
          <w:rStyle w:val="12"/>
          <w:rFonts w:hint="eastAsia" w:ascii="仿宋_GB2312" w:hAnsi="仿宋_GB2312" w:eastAsia="仿宋_GB2312" w:cs="仿宋_GB2312"/>
          <w:sz w:val="32"/>
          <w:szCs w:val="32"/>
          <w:lang w:eastAsia="zh-CN"/>
        </w:rPr>
        <w:t>十</w:t>
      </w:r>
      <w:r>
        <w:rPr>
          <w:rStyle w:val="12"/>
          <w:rFonts w:hint="eastAsia" w:ascii="仿宋_GB2312" w:hAnsi="仿宋_GB2312" w:eastAsia="仿宋_GB2312" w:cs="仿宋_GB2312"/>
          <w:sz w:val="32"/>
          <w:szCs w:val="32"/>
        </w:rPr>
        <w:t>、合同条款内容及签订</w:t>
      </w:r>
    </w:p>
    <w:p w14:paraId="7BD47645">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1、合同签订：成交人在接到成交通知后3天内，应派代表与</w:t>
      </w:r>
      <w:r>
        <w:rPr>
          <w:rFonts w:hint="eastAsia" w:ascii="仿宋_GB2312" w:hAnsi="仿宋_GB2312" w:eastAsia="仿宋_GB2312" w:cs="仿宋_GB2312"/>
          <w:sz w:val="32"/>
          <w:szCs w:val="32"/>
          <w:lang w:eastAsia="zh-CN"/>
        </w:rPr>
        <w:t>采购人</w:t>
      </w:r>
      <w:r>
        <w:rPr>
          <w:rFonts w:hint="eastAsia" w:ascii="仿宋_GB2312" w:hAnsi="仿宋_GB2312" w:eastAsia="仿宋_GB2312" w:cs="仿宋_GB2312"/>
          <w:sz w:val="32"/>
          <w:szCs w:val="32"/>
        </w:rPr>
        <w:t>联系，商讨签订合同事宜。</w:t>
      </w:r>
    </w:p>
    <w:p w14:paraId="3190F235">
      <w:pPr>
        <w:pStyle w:val="9"/>
        <w:keepNext w:val="0"/>
        <w:keepLines w:val="0"/>
        <w:pageBreakBefore w:val="0"/>
        <w:widowControl/>
        <w:suppressLineNumbers w:val="0"/>
        <w:kinsoku/>
        <w:overflowPunct/>
        <w:topLinePunct w:val="0"/>
        <w:autoSpaceDE/>
        <w:autoSpaceDN/>
        <w:bidi w:val="0"/>
        <w:adjustRightInd/>
        <w:spacing w:before="0" w:beforeAutospacing="0" w:after="0" w:afterAutospacing="0" w:line="560"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、合同签订地点：</w:t>
      </w:r>
      <w:r>
        <w:rPr>
          <w:rFonts w:hint="eastAsia" w:ascii="仿宋_GB2312" w:hAnsi="仿宋_GB2312" w:eastAsia="仿宋_GB2312" w:cs="仿宋_GB2312"/>
          <w:sz w:val="32"/>
          <w:szCs w:val="32"/>
          <w:lang w:eastAsia="zh-CN"/>
        </w:rPr>
        <w:t>福州</w:t>
      </w:r>
    </w:p>
    <w:p w14:paraId="19F141CA"/>
    <w:sectPr>
      <w:footerReference r:id="rId3" w:type="default"/>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C2DF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DD65">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20DD6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57E4"/>
    <w:rsid w:val="051E25B2"/>
    <w:rsid w:val="12C96EAE"/>
    <w:rsid w:val="21137C51"/>
    <w:rsid w:val="22804815"/>
    <w:rsid w:val="2A9337B9"/>
    <w:rsid w:val="303A7AB4"/>
    <w:rsid w:val="36A5702E"/>
    <w:rsid w:val="3B720378"/>
    <w:rsid w:val="3C9C40B1"/>
    <w:rsid w:val="43996CCD"/>
    <w:rsid w:val="5B2959FE"/>
    <w:rsid w:val="71EE54F9"/>
    <w:rsid w:val="7EBC2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455"/>
    </w:pPr>
    <w:rPr>
      <w:rFonts w:ascii="宋体" w:hAnsi="宋体" w:eastAsia="宋体" w:cs="宋体"/>
      <w:sz w:val="24"/>
      <w:szCs w:val="24"/>
      <w:lang w:val="zh-CN" w:eastAsia="zh-CN" w:bidi="zh-CN"/>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qFormat/>
    <w:uiPriority w:val="0"/>
    <w:rPr>
      <w:color w:val="0000FF"/>
      <w:u w:val="single"/>
    </w:rPr>
  </w:style>
  <w:style w:type="character" w:customStyle="1" w:styleId="15">
    <w:name w:val="NormalCharacter"/>
    <w:semiHidden/>
    <w:qFormat/>
    <w:uiPriority w:val="0"/>
    <w:rPr>
      <w:rFonts w:ascii="Calibri" w:hAnsi="Calibri" w:eastAsia="仿宋_GB2312" w:cs="Times New Roman"/>
      <w:kern w:val="2"/>
      <w:sz w:val="32"/>
      <w:szCs w:val="22"/>
      <w:lang w:val="en-US" w:eastAsia="zh-CN" w:bidi="ar-SA"/>
    </w:rPr>
  </w:style>
  <w:style w:type="paragraph" w:customStyle="1" w:styleId="16">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5187</Words>
  <Characters>5532</Characters>
  <Lines>0</Lines>
  <Paragraphs>0</Paragraphs>
  <TotalTime>2</TotalTime>
  <ScaleCrop>false</ScaleCrop>
  <LinksUpToDate>false</LinksUpToDate>
  <CharactersWithSpaces>5532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2026-09-11T00:32:00Z</dcterms:created>
  <dc:creator>Administrator</dc:creator>
  <cp:lastModifiedBy>Scrat丶</cp:lastModifiedBy>
  <cp:lastPrinted>2026-09-14T01:30:00Z</cp:lastPrinted>
  <dcterms:modified xsi:type="dcterms:W3CDTF">2026-09-14T02:45:15Z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eyJoZGlkIjoiMjBiYTc5ZmIyZmU2YzUwNjUzYjY4M2M2MmFlNzcyODIiLCJ1c2VySWQiOiI2MDY0MjAyMDAifQ==</vt:lpwstr>
  </property>
  <property fmtid="{D5CDD505-2E9C-101B-9397-08002B2CF9AE}" pid="4" name="ICV">
    <vt:lpwstr>D3640808E57549D58095E7B5420DBD02_13</vt:lpwstr>
  </property>
</Properties>
</file>